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30" w:rsidRDefault="004F3A30">
      <w:pPr>
        <w:pStyle w:val="Header"/>
        <w:tabs>
          <w:tab w:val="clear" w:pos="4153"/>
          <w:tab w:val="clear" w:pos="8306"/>
        </w:tabs>
        <w:spacing w:line="300" w:lineRule="auto"/>
        <w:rPr>
          <w:rFonts w:ascii="Tahoma" w:hAnsi="Tahoma"/>
          <w:b/>
          <w:caps/>
          <w:sz w:val="36"/>
        </w:rPr>
      </w:pPr>
      <w:r>
        <w:rPr>
          <w:rFonts w:ascii="Tahoma" w:hAnsi="Tahoma"/>
          <w:b/>
          <w:caps/>
          <w:sz w:val="36"/>
        </w:rPr>
        <w:t>Carlisle City Council</w:t>
      </w:r>
    </w:p>
    <w:tbl>
      <w:tblPr>
        <w:tblW w:w="0" w:type="auto"/>
        <w:tblLayout w:type="fixed"/>
        <w:tblLook w:val="0000"/>
      </w:tblPr>
      <w:tblGrid>
        <w:gridCol w:w="2463"/>
        <w:gridCol w:w="622"/>
        <w:gridCol w:w="3686"/>
        <w:gridCol w:w="850"/>
        <w:gridCol w:w="1701"/>
        <w:gridCol w:w="142"/>
        <w:gridCol w:w="142"/>
        <w:gridCol w:w="246"/>
        <w:gridCol w:w="37"/>
      </w:tblGrid>
      <w:tr w:rsidR="004F3A30">
        <w:trPr>
          <w:gridAfter w:val="1"/>
          <w:wAfter w:w="37" w:type="dxa"/>
        </w:trPr>
        <w:tc>
          <w:tcPr>
            <w:tcW w:w="2463" w:type="dxa"/>
          </w:tcPr>
          <w:p w:rsidR="004F3A30" w:rsidRDefault="004F3A30">
            <w:pPr>
              <w:pStyle w:val="Header"/>
              <w:tabs>
                <w:tab w:val="clear" w:pos="4153"/>
                <w:tab w:val="clear" w:pos="8306"/>
              </w:tabs>
              <w:spacing w:before="240" w:line="300" w:lineRule="auto"/>
              <w:rPr>
                <w:rFonts w:ascii="Tahoma" w:hAnsi="Tahoma"/>
                <w:b/>
                <w:sz w:val="18"/>
              </w:rPr>
            </w:pPr>
            <w:r>
              <w:rPr>
                <w:rFonts w:ascii="Tahoma" w:hAnsi="Tahoma"/>
                <w:b/>
                <w:sz w:val="18"/>
              </w:rPr>
              <w:t>Report to:-</w:t>
            </w:r>
          </w:p>
        </w:tc>
        <w:tc>
          <w:tcPr>
            <w:tcW w:w="6859" w:type="dxa"/>
            <w:gridSpan w:val="4"/>
          </w:tcPr>
          <w:p w:rsidR="004F3A30" w:rsidRDefault="004F3A30">
            <w:pPr>
              <w:pStyle w:val="Header"/>
              <w:tabs>
                <w:tab w:val="clear" w:pos="4153"/>
                <w:tab w:val="clear" w:pos="8306"/>
              </w:tabs>
              <w:spacing w:line="300" w:lineRule="auto"/>
              <w:rPr>
                <w:rFonts w:ascii="Tahoma" w:hAnsi="Tahoma"/>
                <w:b/>
                <w:sz w:val="12"/>
              </w:rPr>
            </w:pPr>
          </w:p>
          <w:p w:rsidR="004F3A30" w:rsidRDefault="004F3A30">
            <w:pPr>
              <w:pStyle w:val="Header"/>
              <w:tabs>
                <w:tab w:val="clear" w:pos="4153"/>
                <w:tab w:val="clear" w:pos="8306"/>
              </w:tabs>
              <w:spacing w:line="300" w:lineRule="auto"/>
              <w:rPr>
                <w:rFonts w:ascii="Tahoma" w:hAnsi="Tahoma"/>
                <w:b/>
                <w:sz w:val="24"/>
              </w:rPr>
            </w:pPr>
            <w:r>
              <w:rPr>
                <w:rFonts w:ascii="Tahoma" w:hAnsi="Tahoma"/>
                <w:b/>
                <w:sz w:val="24"/>
              </w:rPr>
              <w:t>The Chairman and Members of the Licensing Committee</w:t>
            </w:r>
          </w:p>
        </w:tc>
        <w:tc>
          <w:tcPr>
            <w:tcW w:w="284" w:type="dxa"/>
            <w:gridSpan w:val="2"/>
          </w:tcPr>
          <w:p w:rsidR="004F3A30" w:rsidRDefault="004F3A30">
            <w:pPr>
              <w:pStyle w:val="Header"/>
              <w:tabs>
                <w:tab w:val="clear" w:pos="4153"/>
                <w:tab w:val="clear" w:pos="8306"/>
              </w:tabs>
              <w:spacing w:before="240" w:line="300" w:lineRule="auto"/>
              <w:rPr>
                <w:rFonts w:ascii="Tahoma" w:hAnsi="Tahoma"/>
                <w:b/>
                <w:sz w:val="18"/>
              </w:rPr>
            </w:pPr>
          </w:p>
        </w:tc>
        <w:tc>
          <w:tcPr>
            <w:tcW w:w="246" w:type="dxa"/>
          </w:tcPr>
          <w:p w:rsidR="004F3A30" w:rsidRDefault="004F3A30">
            <w:pPr>
              <w:pStyle w:val="Header"/>
              <w:tabs>
                <w:tab w:val="clear" w:pos="4153"/>
                <w:tab w:val="clear" w:pos="8306"/>
              </w:tabs>
              <w:spacing w:before="240" w:line="300" w:lineRule="auto"/>
              <w:rPr>
                <w:rFonts w:ascii="Tahoma" w:hAnsi="Tahoma"/>
                <w:b/>
                <w:sz w:val="18"/>
              </w:rPr>
            </w:pPr>
          </w:p>
        </w:tc>
      </w:tr>
      <w:tr w:rsidR="004F3A30">
        <w:trPr>
          <w:gridAfter w:val="1"/>
          <w:wAfter w:w="37" w:type="dxa"/>
        </w:trPr>
        <w:tc>
          <w:tcPr>
            <w:tcW w:w="2463" w:type="dxa"/>
          </w:tcPr>
          <w:p w:rsidR="004F3A30" w:rsidRDefault="004F3A30">
            <w:pPr>
              <w:pStyle w:val="Header"/>
              <w:tabs>
                <w:tab w:val="clear" w:pos="4153"/>
                <w:tab w:val="clear" w:pos="8306"/>
              </w:tabs>
              <w:spacing w:before="80" w:after="240" w:line="300" w:lineRule="auto"/>
              <w:rPr>
                <w:rFonts w:ascii="Tahoma" w:hAnsi="Tahoma"/>
                <w:b/>
                <w:sz w:val="18"/>
              </w:rPr>
            </w:pPr>
            <w:r>
              <w:rPr>
                <w:rFonts w:ascii="Tahoma" w:hAnsi="Tahoma"/>
                <w:b/>
                <w:sz w:val="18"/>
              </w:rPr>
              <w:t>Date of Meeting:-</w:t>
            </w:r>
          </w:p>
        </w:tc>
        <w:tc>
          <w:tcPr>
            <w:tcW w:w="5158" w:type="dxa"/>
            <w:gridSpan w:val="3"/>
          </w:tcPr>
          <w:p w:rsidR="004F3A30" w:rsidRDefault="004F3A30">
            <w:pPr>
              <w:pStyle w:val="Header"/>
              <w:tabs>
                <w:tab w:val="clear" w:pos="4153"/>
                <w:tab w:val="clear" w:pos="8306"/>
              </w:tabs>
              <w:spacing w:line="300" w:lineRule="auto"/>
              <w:rPr>
                <w:rFonts w:ascii="Arial" w:hAnsi="Arial"/>
                <w:sz w:val="4"/>
              </w:rPr>
            </w:pPr>
          </w:p>
          <w:p w:rsidR="004F3A30" w:rsidRDefault="003902D5">
            <w:pPr>
              <w:pStyle w:val="Header"/>
              <w:tabs>
                <w:tab w:val="clear" w:pos="4153"/>
                <w:tab w:val="clear" w:pos="8306"/>
              </w:tabs>
              <w:spacing w:line="300" w:lineRule="auto"/>
              <w:rPr>
                <w:rFonts w:ascii="Arial" w:hAnsi="Arial"/>
                <w:sz w:val="24"/>
              </w:rPr>
            </w:pPr>
            <w:r>
              <w:rPr>
                <w:rFonts w:ascii="Arial" w:hAnsi="Arial"/>
                <w:sz w:val="24"/>
              </w:rPr>
              <w:t>2 June</w:t>
            </w:r>
            <w:r w:rsidR="00652C26">
              <w:rPr>
                <w:rFonts w:ascii="Arial" w:hAnsi="Arial"/>
                <w:sz w:val="24"/>
              </w:rPr>
              <w:t xml:space="preserve"> </w:t>
            </w:r>
            <w:r w:rsidR="003201D9">
              <w:rPr>
                <w:rFonts w:ascii="Arial" w:hAnsi="Arial"/>
                <w:sz w:val="24"/>
              </w:rPr>
              <w:t>2010</w:t>
            </w:r>
          </w:p>
          <w:p w:rsidR="004F3A30" w:rsidRDefault="004F3A30">
            <w:pPr>
              <w:pStyle w:val="Header"/>
              <w:tabs>
                <w:tab w:val="clear" w:pos="4153"/>
                <w:tab w:val="clear" w:pos="8306"/>
              </w:tabs>
              <w:spacing w:line="300" w:lineRule="auto"/>
              <w:rPr>
                <w:rFonts w:ascii="Arial" w:hAnsi="Arial"/>
                <w:sz w:val="16"/>
              </w:rPr>
            </w:pPr>
          </w:p>
        </w:tc>
        <w:tc>
          <w:tcPr>
            <w:tcW w:w="1843" w:type="dxa"/>
            <w:gridSpan w:val="2"/>
          </w:tcPr>
          <w:p w:rsidR="004F3A30" w:rsidRDefault="004F3A30">
            <w:pPr>
              <w:pStyle w:val="Header"/>
              <w:tabs>
                <w:tab w:val="clear" w:pos="4153"/>
                <w:tab w:val="clear" w:pos="8306"/>
              </w:tabs>
              <w:spacing w:before="80" w:after="240" w:line="300" w:lineRule="auto"/>
              <w:rPr>
                <w:rFonts w:ascii="Tahoma" w:hAnsi="Tahoma"/>
                <w:b/>
                <w:sz w:val="18"/>
              </w:rPr>
            </w:pPr>
            <w:r>
              <w:rPr>
                <w:rFonts w:ascii="Tahoma" w:hAnsi="Tahoma"/>
                <w:b/>
                <w:sz w:val="18"/>
              </w:rPr>
              <w:t xml:space="preserve">Agenda Item No:- </w:t>
            </w:r>
          </w:p>
        </w:tc>
        <w:tc>
          <w:tcPr>
            <w:tcW w:w="388" w:type="dxa"/>
            <w:gridSpan w:val="2"/>
          </w:tcPr>
          <w:p w:rsidR="004F3A30" w:rsidRDefault="004F3A30">
            <w:pPr>
              <w:pStyle w:val="Header"/>
              <w:tabs>
                <w:tab w:val="clear" w:pos="4153"/>
                <w:tab w:val="clear" w:pos="8306"/>
              </w:tabs>
              <w:spacing w:before="80" w:after="240" w:line="300" w:lineRule="auto"/>
              <w:rPr>
                <w:rFonts w:ascii="Tahoma" w:hAnsi="Tahoma"/>
                <w:b/>
                <w:sz w:val="18"/>
              </w:rPr>
            </w:pPr>
          </w:p>
        </w:tc>
      </w:tr>
      <w:tr w:rsidR="004F3A30">
        <w:tc>
          <w:tcPr>
            <w:tcW w:w="3085" w:type="dxa"/>
            <w:gridSpan w:val="2"/>
            <w:tcBorders>
              <w:top w:val="single" w:sz="4" w:space="0" w:color="auto"/>
            </w:tcBorders>
          </w:tcPr>
          <w:p w:rsidR="004F3A30" w:rsidRDefault="004F3A30">
            <w:pPr>
              <w:pStyle w:val="Header"/>
              <w:tabs>
                <w:tab w:val="clear" w:pos="4153"/>
                <w:tab w:val="clear" w:pos="8306"/>
              </w:tabs>
              <w:spacing w:before="60" w:line="300" w:lineRule="auto"/>
              <w:jc w:val="center"/>
              <w:rPr>
                <w:rFonts w:ascii="Tahoma" w:hAnsi="Tahoma"/>
                <w:b/>
                <w:sz w:val="18"/>
              </w:rPr>
            </w:pPr>
            <w:r>
              <w:rPr>
                <w:rFonts w:ascii="Tahoma" w:hAnsi="Tahoma"/>
                <w:b/>
              </w:rPr>
              <w:t xml:space="preserve">Public </w:t>
            </w:r>
          </w:p>
        </w:tc>
        <w:tc>
          <w:tcPr>
            <w:tcW w:w="3686" w:type="dxa"/>
            <w:tcBorders>
              <w:top w:val="single" w:sz="4" w:space="0" w:color="auto"/>
            </w:tcBorders>
          </w:tcPr>
          <w:p w:rsidR="004F3A30" w:rsidRDefault="004F3A30">
            <w:pPr>
              <w:pStyle w:val="Heading9"/>
            </w:pPr>
            <w:r>
              <w:t>Operational</w:t>
            </w:r>
          </w:p>
        </w:tc>
        <w:tc>
          <w:tcPr>
            <w:tcW w:w="3118" w:type="dxa"/>
            <w:gridSpan w:val="6"/>
            <w:tcBorders>
              <w:top w:val="single" w:sz="4" w:space="0" w:color="auto"/>
            </w:tcBorders>
          </w:tcPr>
          <w:p w:rsidR="004F3A30" w:rsidRDefault="004F3A30">
            <w:pPr>
              <w:pStyle w:val="Heading5"/>
              <w:spacing w:before="60" w:after="0" w:line="300" w:lineRule="auto"/>
              <w:rPr>
                <w:b/>
                <w:sz w:val="20"/>
              </w:rPr>
            </w:pPr>
            <w:r>
              <w:rPr>
                <w:b/>
                <w:sz w:val="20"/>
              </w:rPr>
              <w:t>Delegated Yes</w:t>
            </w:r>
          </w:p>
        </w:tc>
      </w:tr>
      <w:tr w:rsidR="004F3A30">
        <w:tc>
          <w:tcPr>
            <w:tcW w:w="9889" w:type="dxa"/>
            <w:gridSpan w:val="9"/>
          </w:tcPr>
          <w:p w:rsidR="004F3A30" w:rsidRDefault="004F3A30">
            <w:pPr>
              <w:pStyle w:val="Header"/>
              <w:tabs>
                <w:tab w:val="clear" w:pos="4153"/>
                <w:tab w:val="clear" w:pos="8306"/>
              </w:tabs>
              <w:spacing w:before="60" w:after="60" w:line="300" w:lineRule="auto"/>
              <w:jc w:val="center"/>
              <w:rPr>
                <w:rFonts w:ascii="Tahoma" w:hAnsi="Tahoma"/>
                <w:sz w:val="18"/>
              </w:rPr>
            </w:pPr>
          </w:p>
        </w:tc>
      </w:tr>
      <w:tr w:rsidR="004F3A30">
        <w:tc>
          <w:tcPr>
            <w:tcW w:w="9889" w:type="dxa"/>
            <w:gridSpan w:val="9"/>
            <w:tcBorders>
              <w:bottom w:val="single" w:sz="4" w:space="0" w:color="auto"/>
            </w:tcBorders>
          </w:tcPr>
          <w:p w:rsidR="004F3A30" w:rsidRDefault="004F3A30">
            <w:pPr>
              <w:pStyle w:val="Header"/>
              <w:tabs>
                <w:tab w:val="clear" w:pos="4153"/>
                <w:tab w:val="clear" w:pos="8306"/>
              </w:tabs>
              <w:spacing w:before="60" w:after="60" w:line="300" w:lineRule="auto"/>
              <w:jc w:val="center"/>
              <w:rPr>
                <w:rFonts w:ascii="Tahoma" w:hAnsi="Tahoma"/>
                <w:sz w:val="18"/>
              </w:rPr>
            </w:pPr>
          </w:p>
        </w:tc>
      </w:tr>
    </w:tbl>
    <w:p w:rsidR="004F3A30" w:rsidRDefault="004F3A30">
      <w:pPr>
        <w:pStyle w:val="Header"/>
        <w:tabs>
          <w:tab w:val="clear" w:pos="4153"/>
          <w:tab w:val="clear" w:pos="8306"/>
        </w:tabs>
        <w:spacing w:line="300" w:lineRule="auto"/>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686"/>
        <w:gridCol w:w="1559"/>
        <w:gridCol w:w="1559"/>
      </w:tblGrid>
      <w:tr w:rsidR="004F3A30">
        <w:tc>
          <w:tcPr>
            <w:tcW w:w="6771" w:type="dxa"/>
            <w:gridSpan w:val="2"/>
            <w:tcBorders>
              <w:left w:val="nil"/>
              <w:bottom w:val="nil"/>
              <w:right w:val="nil"/>
            </w:tcBorders>
          </w:tcPr>
          <w:p w:rsidR="004F3A30" w:rsidRDefault="004F3A30">
            <w:pPr>
              <w:pStyle w:val="Heading6"/>
              <w:spacing w:before="60" w:after="40" w:line="300" w:lineRule="auto"/>
            </w:pPr>
            <w:r>
              <w:t>Accompanying Comments and Statements</w:t>
            </w:r>
          </w:p>
        </w:tc>
        <w:tc>
          <w:tcPr>
            <w:tcW w:w="1559" w:type="dxa"/>
            <w:tcBorders>
              <w:left w:val="nil"/>
              <w:bottom w:val="nil"/>
              <w:right w:val="nil"/>
            </w:tcBorders>
          </w:tcPr>
          <w:p w:rsidR="004F3A30" w:rsidRDefault="004F3A30">
            <w:pPr>
              <w:spacing w:before="60" w:after="40" w:line="300" w:lineRule="auto"/>
              <w:jc w:val="center"/>
              <w:rPr>
                <w:rFonts w:ascii="Tahoma" w:hAnsi="Tahoma"/>
                <w:b/>
              </w:rPr>
            </w:pPr>
            <w:r>
              <w:rPr>
                <w:rFonts w:ascii="Tahoma" w:hAnsi="Tahoma"/>
                <w:b/>
              </w:rPr>
              <w:t>Required</w:t>
            </w:r>
          </w:p>
        </w:tc>
        <w:tc>
          <w:tcPr>
            <w:tcW w:w="1559" w:type="dxa"/>
            <w:tcBorders>
              <w:left w:val="nil"/>
              <w:bottom w:val="nil"/>
              <w:right w:val="nil"/>
            </w:tcBorders>
          </w:tcPr>
          <w:p w:rsidR="004F3A30" w:rsidRDefault="004F3A30">
            <w:pPr>
              <w:spacing w:before="60" w:after="40" w:line="300" w:lineRule="auto"/>
              <w:jc w:val="center"/>
              <w:rPr>
                <w:rFonts w:ascii="Tahoma" w:hAnsi="Tahoma"/>
                <w:b/>
              </w:rPr>
            </w:pPr>
            <w:r>
              <w:rPr>
                <w:rFonts w:ascii="Tahoma" w:hAnsi="Tahoma"/>
                <w:b/>
              </w:rPr>
              <w:t>Included</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 xml:space="preserve">Cumbria Fire Service </w:t>
            </w:r>
          </w:p>
        </w:tc>
        <w:tc>
          <w:tcPr>
            <w:tcW w:w="1559" w:type="dxa"/>
            <w:tcBorders>
              <w:top w:val="nil"/>
              <w:left w:val="nil"/>
              <w:bottom w:val="nil"/>
              <w:right w:val="nil"/>
            </w:tcBorders>
          </w:tcPr>
          <w:p w:rsidR="004F3A30" w:rsidRDefault="004F3A30">
            <w:pPr>
              <w:pStyle w:val="Heading5"/>
              <w:spacing w:before="0" w:after="20" w:line="300" w:lineRule="auto"/>
              <w:rPr>
                <w:sz w:val="18"/>
              </w:rPr>
            </w:pPr>
            <w:r>
              <w:rPr>
                <w:sz w:val="18"/>
              </w:rPr>
              <w:t>No</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 xml:space="preserve">Cumbria Constabulary </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 xml:space="preserve">Environmental Services </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No</w:t>
            </w:r>
          </w:p>
        </w:tc>
      </w:tr>
      <w:tr w:rsidR="004F3A30">
        <w:tc>
          <w:tcPr>
            <w:tcW w:w="6771" w:type="dxa"/>
            <w:gridSpan w:val="2"/>
            <w:tcBorders>
              <w:top w:val="nil"/>
              <w:left w:val="nil"/>
              <w:bottom w:val="nil"/>
              <w:right w:val="nil"/>
            </w:tcBorders>
          </w:tcPr>
          <w:p w:rsidR="004F3A30" w:rsidRDefault="004F3A30">
            <w:pPr>
              <w:pStyle w:val="Header"/>
              <w:tabs>
                <w:tab w:val="clear" w:pos="4153"/>
                <w:tab w:val="clear" w:pos="8306"/>
              </w:tabs>
              <w:spacing w:after="20" w:line="300" w:lineRule="auto"/>
              <w:rPr>
                <w:rFonts w:ascii="Tahoma" w:hAnsi="Tahoma"/>
                <w:sz w:val="18"/>
              </w:rPr>
            </w:pPr>
            <w:r>
              <w:rPr>
                <w:rFonts w:ascii="Tahoma" w:hAnsi="Tahoma"/>
                <w:sz w:val="18"/>
              </w:rPr>
              <w:t>Planning Services</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 xml:space="preserve">No </w:t>
            </w:r>
          </w:p>
        </w:tc>
        <w:tc>
          <w:tcPr>
            <w:tcW w:w="1559" w:type="dxa"/>
            <w:tcBorders>
              <w:top w:val="nil"/>
              <w:left w:val="nil"/>
              <w:bottom w:val="nil"/>
              <w:right w:val="nil"/>
            </w:tcBorders>
          </w:tcPr>
          <w:p w:rsidR="004F3A30" w:rsidRDefault="004F3A30">
            <w:pPr>
              <w:spacing w:after="20" w:line="300" w:lineRule="auto"/>
              <w:jc w:val="center"/>
              <w:rPr>
                <w:rFonts w:ascii="Tahoma" w:hAnsi="Tahoma"/>
                <w:sz w:val="18"/>
              </w:rPr>
            </w:pPr>
            <w:r>
              <w:rPr>
                <w:rFonts w:ascii="Tahoma" w:hAnsi="Tahoma"/>
                <w:sz w:val="18"/>
              </w:rPr>
              <w:t xml:space="preserve">No </w:t>
            </w:r>
          </w:p>
        </w:tc>
      </w:tr>
      <w:tr w:rsidR="004F3A30">
        <w:tc>
          <w:tcPr>
            <w:tcW w:w="6771" w:type="dxa"/>
            <w:gridSpan w:val="2"/>
            <w:tcBorders>
              <w:top w:val="nil"/>
              <w:left w:val="nil"/>
              <w:right w:val="nil"/>
            </w:tcBorders>
          </w:tcPr>
          <w:p w:rsidR="004F3A30" w:rsidRDefault="004F3A30">
            <w:pPr>
              <w:pStyle w:val="Header"/>
              <w:tabs>
                <w:tab w:val="clear" w:pos="4153"/>
                <w:tab w:val="clear" w:pos="8306"/>
              </w:tabs>
              <w:spacing w:after="60" w:line="300" w:lineRule="auto"/>
              <w:rPr>
                <w:rFonts w:ascii="Tahoma" w:hAnsi="Tahoma"/>
                <w:sz w:val="18"/>
              </w:rPr>
            </w:pPr>
          </w:p>
        </w:tc>
        <w:tc>
          <w:tcPr>
            <w:tcW w:w="1559" w:type="dxa"/>
            <w:tcBorders>
              <w:top w:val="nil"/>
              <w:left w:val="nil"/>
              <w:right w:val="nil"/>
            </w:tcBorders>
          </w:tcPr>
          <w:p w:rsidR="004F3A30" w:rsidRDefault="004F3A30">
            <w:pPr>
              <w:spacing w:after="60" w:line="300" w:lineRule="auto"/>
              <w:jc w:val="center"/>
              <w:rPr>
                <w:rFonts w:ascii="Tahoma" w:hAnsi="Tahoma"/>
                <w:sz w:val="18"/>
              </w:rPr>
            </w:pPr>
          </w:p>
        </w:tc>
        <w:tc>
          <w:tcPr>
            <w:tcW w:w="1559" w:type="dxa"/>
            <w:tcBorders>
              <w:top w:val="nil"/>
              <w:left w:val="nil"/>
              <w:right w:val="nil"/>
            </w:tcBorders>
          </w:tcPr>
          <w:p w:rsidR="004F3A30" w:rsidRDefault="004F3A30">
            <w:pPr>
              <w:spacing w:after="60" w:line="300" w:lineRule="auto"/>
              <w:jc w:val="center"/>
              <w:rPr>
                <w:rFonts w:ascii="Tahoma" w:hAnsi="Tahoma"/>
                <w:sz w:val="18"/>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4F3A30" w:rsidRDefault="004F3A30">
            <w:pPr>
              <w:pStyle w:val="Heading8"/>
            </w:pPr>
            <w:r>
              <w:t>Title:-</w:t>
            </w:r>
          </w:p>
        </w:tc>
        <w:tc>
          <w:tcPr>
            <w:tcW w:w="6804" w:type="dxa"/>
            <w:gridSpan w:val="3"/>
          </w:tcPr>
          <w:p w:rsidR="00F44583" w:rsidRDefault="00F44583">
            <w:pPr>
              <w:pStyle w:val="Heading1"/>
              <w:spacing w:line="300" w:lineRule="auto"/>
              <w:rPr>
                <w:caps/>
              </w:rPr>
            </w:pPr>
          </w:p>
          <w:p w:rsidR="004F3A30" w:rsidRDefault="004F3A30">
            <w:pPr>
              <w:pStyle w:val="Heading1"/>
              <w:spacing w:line="300" w:lineRule="auto"/>
              <w:rPr>
                <w:caps/>
              </w:rPr>
            </w:pPr>
            <w:r>
              <w:rPr>
                <w:caps/>
              </w:rPr>
              <w:t>LICENSING ACT 2003 UPDATE</w:t>
            </w:r>
          </w:p>
          <w:p w:rsidR="004F3A30" w:rsidRDefault="004F3A30">
            <w:pPr>
              <w:spacing w:line="300" w:lineRule="auto"/>
              <w:rPr>
                <w:rFonts w:ascii="Tahoma" w:hAnsi="Tahoma"/>
                <w:b/>
                <w:sz w:val="6"/>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4F3A30" w:rsidRDefault="004F3A30">
            <w:pPr>
              <w:pStyle w:val="Heading8"/>
              <w:spacing w:before="80"/>
            </w:pPr>
            <w:r>
              <w:t>Report of:-</w:t>
            </w:r>
          </w:p>
        </w:tc>
        <w:tc>
          <w:tcPr>
            <w:tcW w:w="6804" w:type="dxa"/>
            <w:gridSpan w:val="3"/>
          </w:tcPr>
          <w:p w:rsidR="004F3A30" w:rsidRDefault="003201D9">
            <w:pPr>
              <w:spacing w:line="300" w:lineRule="auto"/>
              <w:rPr>
                <w:rFonts w:ascii="Arial" w:hAnsi="Arial"/>
                <w:b/>
                <w:sz w:val="24"/>
              </w:rPr>
            </w:pPr>
            <w:r>
              <w:rPr>
                <w:rFonts w:ascii="Arial" w:hAnsi="Arial"/>
                <w:b/>
                <w:sz w:val="24"/>
              </w:rPr>
              <w:t xml:space="preserve">ASSISTANT DIRECTOR </w:t>
            </w:r>
            <w:r w:rsidR="00D13E90">
              <w:rPr>
                <w:rFonts w:ascii="Arial" w:hAnsi="Arial"/>
                <w:b/>
                <w:sz w:val="24"/>
              </w:rPr>
              <w:t>(</w:t>
            </w:r>
            <w:r>
              <w:rPr>
                <w:rFonts w:ascii="Arial" w:hAnsi="Arial"/>
                <w:b/>
                <w:sz w:val="24"/>
              </w:rPr>
              <w:t>GOVERNANCE</w:t>
            </w:r>
            <w:r w:rsidR="00D13E90">
              <w:rPr>
                <w:rFonts w:ascii="Arial" w:hAnsi="Arial"/>
                <w:b/>
                <w:sz w:val="24"/>
              </w:rPr>
              <w:t>)</w:t>
            </w:r>
          </w:p>
          <w:p w:rsidR="004F3A30" w:rsidRDefault="004F3A30">
            <w:pPr>
              <w:spacing w:line="300" w:lineRule="auto"/>
              <w:rPr>
                <w:rFonts w:ascii="Arial" w:hAnsi="Arial"/>
                <w:b/>
                <w:sz w:val="6"/>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4F3A30" w:rsidRDefault="004F3A30" w:rsidP="009B6B61">
            <w:pPr>
              <w:pStyle w:val="Heading8"/>
              <w:spacing w:before="120" w:after="60"/>
            </w:pPr>
            <w:r>
              <w:t>Report reference:-</w:t>
            </w:r>
          </w:p>
        </w:tc>
        <w:tc>
          <w:tcPr>
            <w:tcW w:w="6804" w:type="dxa"/>
            <w:gridSpan w:val="3"/>
          </w:tcPr>
          <w:p w:rsidR="004F3A30" w:rsidRDefault="005B2D07" w:rsidP="009B6B61">
            <w:pPr>
              <w:spacing w:before="40" w:line="300" w:lineRule="auto"/>
              <w:rPr>
                <w:rFonts w:ascii="Arial" w:hAnsi="Arial"/>
                <w:b/>
                <w:sz w:val="24"/>
              </w:rPr>
            </w:pPr>
            <w:r>
              <w:rPr>
                <w:rFonts w:ascii="Arial" w:hAnsi="Arial"/>
                <w:b/>
                <w:sz w:val="24"/>
              </w:rPr>
              <w:t>GD</w:t>
            </w:r>
            <w:r w:rsidR="00D13E90">
              <w:rPr>
                <w:rFonts w:ascii="Arial" w:hAnsi="Arial"/>
                <w:b/>
                <w:sz w:val="24"/>
              </w:rPr>
              <w:t xml:space="preserve"> 25</w:t>
            </w:r>
            <w:r w:rsidR="009C7106">
              <w:rPr>
                <w:rFonts w:ascii="Arial" w:hAnsi="Arial"/>
                <w:b/>
                <w:sz w:val="24"/>
              </w:rPr>
              <w:t>/10</w:t>
            </w:r>
          </w:p>
          <w:p w:rsidR="004F3A30" w:rsidRDefault="004F3A30">
            <w:pPr>
              <w:spacing w:line="300" w:lineRule="auto"/>
              <w:rPr>
                <w:rFonts w:ascii="Arial" w:hAnsi="Arial"/>
                <w:b/>
                <w:sz w:val="4"/>
              </w:rPr>
            </w:pPr>
          </w:p>
        </w:tc>
      </w:tr>
      <w:tr w:rsidR="004F3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bottom w:val="single" w:sz="4" w:space="0" w:color="auto"/>
            </w:tcBorders>
          </w:tcPr>
          <w:p w:rsidR="004F3A30" w:rsidRDefault="004F3A30">
            <w:pPr>
              <w:pStyle w:val="Heading8"/>
              <w:spacing w:before="80" w:after="60"/>
            </w:pPr>
          </w:p>
        </w:tc>
        <w:tc>
          <w:tcPr>
            <w:tcW w:w="6804" w:type="dxa"/>
            <w:gridSpan w:val="3"/>
            <w:tcBorders>
              <w:bottom w:val="single" w:sz="4" w:space="0" w:color="auto"/>
            </w:tcBorders>
          </w:tcPr>
          <w:p w:rsidR="004F3A30" w:rsidRDefault="004F3A30">
            <w:pPr>
              <w:spacing w:line="300" w:lineRule="auto"/>
              <w:rPr>
                <w:rFonts w:ascii="Arial" w:hAnsi="Arial"/>
                <w:b/>
                <w:sz w:val="24"/>
              </w:rPr>
            </w:pPr>
          </w:p>
        </w:tc>
      </w:tr>
    </w:tbl>
    <w:p w:rsidR="004F3A30" w:rsidRDefault="004F3A30">
      <w:pPr>
        <w:pStyle w:val="Heading7"/>
        <w:spacing w:before="240" w:after="0" w:line="300" w:lineRule="auto"/>
        <w:rPr>
          <w:rFonts w:ascii="Tahoma" w:hAnsi="Tahoma"/>
        </w:rPr>
      </w:pPr>
    </w:p>
    <w:p w:rsidR="004F3A30" w:rsidRDefault="004F3A30">
      <w:pPr>
        <w:pStyle w:val="Heading7"/>
        <w:spacing w:before="240" w:after="0" w:line="300" w:lineRule="auto"/>
        <w:rPr>
          <w:rFonts w:ascii="Tahoma" w:hAnsi="Tahoma"/>
        </w:rPr>
      </w:pPr>
      <w:r>
        <w:rPr>
          <w:rFonts w:ascii="Tahoma" w:hAnsi="Tahoma"/>
        </w:rPr>
        <w:t xml:space="preserve">Summary:-  </w:t>
      </w:r>
    </w:p>
    <w:p w:rsidR="004F3A30" w:rsidRDefault="004F3A30">
      <w:pPr>
        <w:spacing w:line="300" w:lineRule="auto"/>
        <w:rPr>
          <w:rFonts w:ascii="Arial" w:hAnsi="Arial"/>
          <w:sz w:val="24"/>
        </w:rPr>
      </w:pPr>
      <w:bookmarkStart w:id="0" w:name="StartOfText"/>
      <w:bookmarkEnd w:id="0"/>
      <w:r>
        <w:rPr>
          <w:rFonts w:ascii="Arial" w:hAnsi="Arial"/>
          <w:sz w:val="24"/>
        </w:rPr>
        <w:t xml:space="preserve">This report gives an update on the current position regarding applications under the Licensing </w:t>
      </w:r>
      <w:r w:rsidR="00F6460D">
        <w:rPr>
          <w:rFonts w:ascii="Arial" w:hAnsi="Arial"/>
          <w:sz w:val="24"/>
        </w:rPr>
        <w:t>Act 2003</w:t>
      </w:r>
      <w:r>
        <w:rPr>
          <w:rFonts w:ascii="Arial" w:hAnsi="Arial"/>
          <w:sz w:val="24"/>
        </w:rPr>
        <w:t>.</w:t>
      </w:r>
    </w:p>
    <w:p w:rsidR="004F3A30" w:rsidRDefault="004F3A30">
      <w:pPr>
        <w:spacing w:line="300" w:lineRule="auto"/>
        <w:rPr>
          <w:rFonts w:ascii="Arial" w:hAnsi="Arial"/>
          <w:sz w:val="24"/>
        </w:rPr>
      </w:pPr>
    </w:p>
    <w:p w:rsidR="004F3A30" w:rsidRDefault="004F3A30">
      <w:pPr>
        <w:pStyle w:val="Heading7"/>
        <w:spacing w:before="0" w:after="0" w:line="300" w:lineRule="auto"/>
        <w:rPr>
          <w:rFonts w:ascii="Tahoma" w:hAnsi="Tahoma"/>
        </w:rPr>
      </w:pPr>
      <w:r>
        <w:rPr>
          <w:rFonts w:ascii="Tahoma" w:hAnsi="Tahoma"/>
        </w:rPr>
        <w:t>Recommendation:-</w:t>
      </w:r>
    </w:p>
    <w:p w:rsidR="004F3A30" w:rsidRDefault="004F3A30">
      <w:pPr>
        <w:spacing w:line="300" w:lineRule="auto"/>
        <w:rPr>
          <w:rFonts w:ascii="Arial" w:hAnsi="Arial"/>
          <w:sz w:val="24"/>
        </w:rPr>
      </w:pPr>
      <w:r>
        <w:rPr>
          <w:rFonts w:ascii="Arial" w:hAnsi="Arial"/>
          <w:sz w:val="24"/>
        </w:rPr>
        <w:t>Members are requested to note the information.</w:t>
      </w:r>
    </w:p>
    <w:p w:rsidR="004F3A30" w:rsidRDefault="004F3A30">
      <w:pPr>
        <w:spacing w:line="300" w:lineRule="auto"/>
        <w:rPr>
          <w:rFonts w:ascii="Arial" w:hAnsi="Arial"/>
          <w:sz w:val="24"/>
        </w:rPr>
      </w:pPr>
    </w:p>
    <w:p w:rsidR="004F3A30" w:rsidRDefault="004F3A30">
      <w:pPr>
        <w:spacing w:line="300" w:lineRule="auto"/>
        <w:rPr>
          <w:rFonts w:ascii="Arial" w:hAnsi="Arial"/>
          <w:sz w:val="24"/>
        </w:rPr>
      </w:pPr>
    </w:p>
    <w:p w:rsidR="004F3A30" w:rsidRDefault="004F3A30">
      <w:pPr>
        <w:spacing w:line="300" w:lineRule="auto"/>
        <w:ind w:left="720" w:hanging="720"/>
        <w:rPr>
          <w:rFonts w:ascii="Arial" w:hAnsi="Arial"/>
          <w:sz w:val="24"/>
        </w:rPr>
      </w:pPr>
      <w:r>
        <w:rPr>
          <w:rFonts w:ascii="Arial" w:hAnsi="Arial"/>
          <w:sz w:val="24"/>
        </w:rPr>
        <w:t>J A Messenger</w:t>
      </w:r>
    </w:p>
    <w:p w:rsidR="004F3A30" w:rsidRDefault="004F3A30">
      <w:pPr>
        <w:spacing w:line="300" w:lineRule="auto"/>
        <w:ind w:left="720" w:hanging="720"/>
        <w:rPr>
          <w:rFonts w:ascii="Arial" w:hAnsi="Arial"/>
          <w:sz w:val="24"/>
        </w:rPr>
      </w:pPr>
      <w:r>
        <w:rPr>
          <w:rFonts w:ascii="Arial" w:hAnsi="Arial"/>
          <w:sz w:val="24"/>
        </w:rPr>
        <w:t>Licensing Manager</w:t>
      </w:r>
    </w:p>
    <w:p w:rsidR="004F3A30" w:rsidRDefault="003201D9">
      <w:pPr>
        <w:spacing w:line="300" w:lineRule="auto"/>
        <w:ind w:left="720" w:hanging="720"/>
        <w:rPr>
          <w:rFonts w:ascii="Arial" w:hAnsi="Arial"/>
          <w:sz w:val="24"/>
        </w:rPr>
      </w:pPr>
      <w:r>
        <w:rPr>
          <w:rFonts w:ascii="Arial" w:hAnsi="Arial"/>
          <w:sz w:val="24"/>
        </w:rPr>
        <w:t>Governance Directorate</w:t>
      </w:r>
    </w:p>
    <w:p w:rsidR="009372DC" w:rsidRDefault="009372DC">
      <w:pPr>
        <w:spacing w:line="300" w:lineRule="auto"/>
        <w:rPr>
          <w:rFonts w:ascii="Arial" w:hAnsi="Arial"/>
          <w:sz w:val="24"/>
        </w:rPr>
      </w:pPr>
    </w:p>
    <w:p w:rsidR="004F3A30" w:rsidRDefault="004F3A30">
      <w:pPr>
        <w:spacing w:line="300" w:lineRule="auto"/>
        <w:rPr>
          <w:rFonts w:ascii="Arial" w:hAnsi="Arial"/>
          <w:sz w:val="24"/>
        </w:rPr>
      </w:pPr>
    </w:p>
    <w:p w:rsidR="004F3A30" w:rsidRDefault="004F3A30">
      <w:pPr>
        <w:pStyle w:val="BodyText2"/>
      </w:pPr>
      <w:r>
        <w:t>Note: in compliance with section 100d of the Local Government (Access to Information) Act 1985 the report has been prepared in part from the following papers</w:t>
      </w:r>
      <w:proofErr w:type="gramStart"/>
      <w:r>
        <w:t>:-</w:t>
      </w:r>
      <w:proofErr w:type="gramEnd"/>
      <w:r>
        <w:t xml:space="preserve">  Records of Licences issued</w:t>
      </w:r>
      <w:r w:rsidR="0012657D">
        <w:t>, recent legislation</w:t>
      </w:r>
    </w:p>
    <w:p w:rsidR="004F3A30" w:rsidRDefault="004F3A30">
      <w:pPr>
        <w:pStyle w:val="BodyText2"/>
      </w:pPr>
    </w:p>
    <w:p w:rsidR="004F3A30" w:rsidRDefault="004F3A30">
      <w:pPr>
        <w:pStyle w:val="BodyText2"/>
      </w:pPr>
    </w:p>
    <w:p w:rsidR="004F3A30" w:rsidRDefault="004F3A30">
      <w:pPr>
        <w:rPr>
          <w:rFonts w:ascii="Arial" w:hAnsi="Arial"/>
          <w:b/>
          <w:sz w:val="24"/>
          <w:u w:val="single"/>
        </w:rPr>
      </w:pPr>
      <w:r>
        <w:rPr>
          <w:rFonts w:ascii="Arial" w:hAnsi="Arial"/>
          <w:b/>
          <w:sz w:val="24"/>
          <w:u w:val="single"/>
        </w:rPr>
        <w:t xml:space="preserve">To the Chairman and Members of the Licensing Committee on </w:t>
      </w:r>
      <w:r w:rsidR="003E2515">
        <w:rPr>
          <w:rFonts w:ascii="Arial" w:hAnsi="Arial"/>
          <w:b/>
          <w:sz w:val="24"/>
          <w:u w:val="single"/>
        </w:rPr>
        <w:t>2</w:t>
      </w:r>
      <w:r w:rsidR="003E2515" w:rsidRPr="003E2515">
        <w:rPr>
          <w:rFonts w:ascii="Arial" w:hAnsi="Arial"/>
          <w:b/>
          <w:sz w:val="24"/>
          <w:u w:val="single"/>
          <w:vertAlign w:val="superscript"/>
        </w:rPr>
        <w:t>nd</w:t>
      </w:r>
      <w:r w:rsidR="003E2515">
        <w:rPr>
          <w:rFonts w:ascii="Arial" w:hAnsi="Arial"/>
          <w:b/>
          <w:sz w:val="24"/>
          <w:u w:val="single"/>
        </w:rPr>
        <w:t xml:space="preserve"> June</w:t>
      </w:r>
      <w:r w:rsidR="003201D9">
        <w:rPr>
          <w:rFonts w:ascii="Arial" w:hAnsi="Arial"/>
          <w:b/>
          <w:sz w:val="24"/>
          <w:u w:val="single"/>
        </w:rPr>
        <w:t xml:space="preserve"> 2010</w:t>
      </w:r>
    </w:p>
    <w:p w:rsidR="004F3A30" w:rsidRDefault="004F3A30">
      <w:pPr>
        <w:rPr>
          <w:rFonts w:ascii="Arial" w:hAnsi="Arial"/>
          <w:b/>
          <w:sz w:val="22"/>
          <w:u w:val="single"/>
        </w:rPr>
      </w:pPr>
    </w:p>
    <w:p w:rsidR="004F3A30" w:rsidRDefault="004F3A30">
      <w:pPr>
        <w:pStyle w:val="BodyText"/>
      </w:pPr>
      <w:r>
        <w:t>This report is presented to give an update on the current position under the Licensing Act 2003.</w:t>
      </w:r>
    </w:p>
    <w:p w:rsidR="004F3A30" w:rsidRDefault="004F3A30">
      <w:pPr>
        <w:rPr>
          <w:rFonts w:ascii="Arial" w:hAnsi="Arial"/>
          <w:sz w:val="24"/>
        </w:rPr>
      </w:pPr>
    </w:p>
    <w:p w:rsidR="004F3A30" w:rsidRDefault="004F3A30">
      <w:pPr>
        <w:pStyle w:val="BodyText"/>
        <w:rPr>
          <w:b/>
        </w:rPr>
      </w:pPr>
      <w:r>
        <w:rPr>
          <w:b/>
        </w:rPr>
        <w:t>Background</w:t>
      </w:r>
    </w:p>
    <w:p w:rsidR="004F3A30" w:rsidRDefault="004F3A30">
      <w:pPr>
        <w:pStyle w:val="BodyText"/>
        <w:rPr>
          <w:b/>
          <w:sz w:val="20"/>
        </w:rPr>
      </w:pPr>
    </w:p>
    <w:p w:rsidR="004F3A30" w:rsidRDefault="004F3A30">
      <w:pPr>
        <w:pStyle w:val="BodyText"/>
        <w:numPr>
          <w:ilvl w:val="1"/>
          <w:numId w:val="12"/>
        </w:numPr>
        <w:tabs>
          <w:tab w:val="clear" w:pos="390"/>
          <w:tab w:val="num" w:pos="709"/>
        </w:tabs>
        <w:ind w:left="709" w:hanging="709"/>
      </w:pPr>
      <w:r>
        <w:t>The Licensing Act 2003 took effect on 24</w:t>
      </w:r>
      <w:r>
        <w:rPr>
          <w:vertAlign w:val="superscript"/>
        </w:rPr>
        <w:t>th</w:t>
      </w:r>
      <w:r>
        <w:t xml:space="preserve"> November 2005, from which date this Council administered all licences issued. </w:t>
      </w:r>
    </w:p>
    <w:p w:rsidR="004F3A30" w:rsidRDefault="004F3A30">
      <w:pPr>
        <w:pStyle w:val="BodyText"/>
      </w:pPr>
    </w:p>
    <w:p w:rsidR="005B2D07" w:rsidRDefault="00652C26">
      <w:pPr>
        <w:pStyle w:val="BodyText"/>
        <w:numPr>
          <w:ilvl w:val="1"/>
          <w:numId w:val="12"/>
        </w:numPr>
        <w:tabs>
          <w:tab w:val="clear" w:pos="390"/>
          <w:tab w:val="num" w:pos="709"/>
        </w:tabs>
        <w:ind w:left="709" w:hanging="709"/>
      </w:pPr>
      <w:r>
        <w:t>This report summari</w:t>
      </w:r>
      <w:r w:rsidR="0012657D">
        <w:t>s</w:t>
      </w:r>
      <w:r>
        <w:t xml:space="preserve">es the current situation with regard to licences issued under the Act and </w:t>
      </w:r>
      <w:r w:rsidR="0012657D">
        <w:t>explains recent</w:t>
      </w:r>
      <w:r>
        <w:t xml:space="preserve"> changes in the legislation.</w:t>
      </w:r>
    </w:p>
    <w:p w:rsidR="004F3A30" w:rsidRDefault="004F3A30">
      <w:pPr>
        <w:pStyle w:val="BodyText"/>
      </w:pPr>
    </w:p>
    <w:p w:rsidR="004F3A30" w:rsidRDefault="004F3A30">
      <w:pPr>
        <w:pStyle w:val="BodyText"/>
      </w:pPr>
      <w:r>
        <w:rPr>
          <w:b/>
        </w:rPr>
        <w:t xml:space="preserve">Licence figures – as at </w:t>
      </w:r>
      <w:r w:rsidR="00784FE2">
        <w:rPr>
          <w:b/>
        </w:rPr>
        <w:t>24</w:t>
      </w:r>
      <w:r w:rsidR="00784FE2" w:rsidRPr="00784FE2">
        <w:rPr>
          <w:b/>
          <w:vertAlign w:val="superscript"/>
        </w:rPr>
        <w:t>th</w:t>
      </w:r>
      <w:r w:rsidR="00784FE2">
        <w:rPr>
          <w:b/>
        </w:rPr>
        <w:t xml:space="preserve"> May</w:t>
      </w:r>
      <w:r w:rsidR="003201D9">
        <w:rPr>
          <w:b/>
        </w:rPr>
        <w:t xml:space="preserve"> 2010</w:t>
      </w:r>
    </w:p>
    <w:p w:rsidR="004F3A30" w:rsidRDefault="004F3A30">
      <w:pPr>
        <w:pStyle w:val="BodyText"/>
        <w:tabs>
          <w:tab w:val="left" w:pos="709"/>
        </w:tabs>
      </w:pPr>
    </w:p>
    <w:p w:rsidR="004F3A30" w:rsidRDefault="004F3A30">
      <w:pPr>
        <w:pStyle w:val="BodyText"/>
        <w:tabs>
          <w:tab w:val="left" w:pos="709"/>
        </w:tabs>
        <w:rPr>
          <w:b/>
        </w:rPr>
      </w:pPr>
      <w:r>
        <w:t xml:space="preserve">2.1 </w:t>
      </w:r>
      <w:r>
        <w:tab/>
      </w:r>
      <w:r>
        <w:rPr>
          <w:b/>
        </w:rPr>
        <w:t xml:space="preserve">Personal Licences </w:t>
      </w:r>
    </w:p>
    <w:p w:rsidR="004F3A30" w:rsidRDefault="004F3A30">
      <w:pPr>
        <w:pStyle w:val="BodyText"/>
        <w:tabs>
          <w:tab w:val="left" w:pos="709"/>
        </w:tabs>
        <w:rPr>
          <w:b/>
        </w:rPr>
      </w:pPr>
    </w:p>
    <w:p w:rsidR="004F3A30" w:rsidRDefault="004F3A30">
      <w:pPr>
        <w:pStyle w:val="BodyText"/>
        <w:tabs>
          <w:tab w:val="left" w:pos="709"/>
        </w:tabs>
        <w:ind w:left="709" w:firstLine="11"/>
      </w:pPr>
      <w:r>
        <w:t xml:space="preserve">Previous Report - </w:t>
      </w:r>
      <w:r w:rsidR="00784FE2">
        <w:t>1036</w:t>
      </w:r>
    </w:p>
    <w:p w:rsidR="004F3A30" w:rsidRDefault="004F3A30">
      <w:pPr>
        <w:pStyle w:val="BodyText"/>
        <w:tabs>
          <w:tab w:val="left" w:pos="709"/>
        </w:tabs>
        <w:ind w:left="709" w:firstLine="11"/>
      </w:pPr>
      <w:r>
        <w:t xml:space="preserve">Current Licences – </w:t>
      </w:r>
      <w:r w:rsidR="00784FE2">
        <w:t>1044</w:t>
      </w:r>
    </w:p>
    <w:p w:rsidR="009B6B61" w:rsidRDefault="009B6B61">
      <w:pPr>
        <w:pStyle w:val="BodyText"/>
        <w:tabs>
          <w:tab w:val="left" w:pos="709"/>
        </w:tabs>
        <w:ind w:left="709" w:firstLine="11"/>
      </w:pPr>
      <w:r>
        <w:t xml:space="preserve">Total licences </w:t>
      </w:r>
      <w:r w:rsidR="00784FE2">
        <w:t>surrendered/revoked - 6</w:t>
      </w:r>
    </w:p>
    <w:p w:rsidR="004F3A30" w:rsidRDefault="004F3A30">
      <w:pPr>
        <w:pStyle w:val="BodyText"/>
        <w:tabs>
          <w:tab w:val="left" w:pos="709"/>
        </w:tabs>
        <w:ind w:left="709" w:firstLine="11"/>
      </w:pPr>
    </w:p>
    <w:p w:rsidR="004F3A30" w:rsidRDefault="004F3A30">
      <w:pPr>
        <w:pStyle w:val="BodyText"/>
        <w:tabs>
          <w:tab w:val="left" w:pos="426"/>
          <w:tab w:val="left" w:pos="709"/>
        </w:tabs>
        <w:ind w:firstLine="11"/>
        <w:rPr>
          <w:b/>
        </w:rPr>
      </w:pPr>
      <w:r>
        <w:t>2.2</w:t>
      </w:r>
      <w:r>
        <w:tab/>
      </w:r>
      <w:r>
        <w:tab/>
      </w:r>
      <w:r>
        <w:rPr>
          <w:b/>
        </w:rPr>
        <w:t>Premises Licences</w:t>
      </w:r>
    </w:p>
    <w:p w:rsidR="004F3A30" w:rsidRDefault="004F3A30">
      <w:pPr>
        <w:pStyle w:val="BodyText"/>
        <w:tabs>
          <w:tab w:val="left" w:pos="426"/>
          <w:tab w:val="left" w:pos="709"/>
        </w:tabs>
        <w:ind w:firstLine="11"/>
        <w:rPr>
          <w:b/>
        </w:rPr>
      </w:pPr>
    </w:p>
    <w:p w:rsidR="004F3A30" w:rsidRDefault="004F3A30">
      <w:pPr>
        <w:pStyle w:val="BodyText"/>
        <w:tabs>
          <w:tab w:val="left" w:pos="709"/>
        </w:tabs>
        <w:ind w:left="709" w:firstLine="11"/>
      </w:pPr>
      <w:r>
        <w:t>With alcohol</w:t>
      </w:r>
    </w:p>
    <w:p w:rsidR="004F3A30" w:rsidRDefault="003A723F">
      <w:pPr>
        <w:pStyle w:val="BodyText"/>
        <w:tabs>
          <w:tab w:val="left" w:pos="709"/>
        </w:tabs>
        <w:ind w:left="709" w:firstLine="11"/>
      </w:pPr>
      <w:r>
        <w:t xml:space="preserve">Previous Report - </w:t>
      </w:r>
      <w:r w:rsidR="00784FE2">
        <w:t>367</w:t>
      </w:r>
    </w:p>
    <w:p w:rsidR="004F3A30" w:rsidRDefault="009B6B61">
      <w:pPr>
        <w:pStyle w:val="BodyText"/>
        <w:tabs>
          <w:tab w:val="left" w:pos="709"/>
        </w:tabs>
        <w:ind w:left="709" w:firstLine="11"/>
      </w:pPr>
      <w:r>
        <w:t>Current Licences –</w:t>
      </w:r>
      <w:r w:rsidR="00784FE2">
        <w:t>371</w:t>
      </w:r>
    </w:p>
    <w:p w:rsidR="004F3A30" w:rsidRDefault="00784FE2">
      <w:pPr>
        <w:pStyle w:val="BodyText"/>
        <w:tabs>
          <w:tab w:val="left" w:pos="426"/>
          <w:tab w:val="left" w:pos="709"/>
        </w:tabs>
        <w:ind w:left="709"/>
      </w:pPr>
      <w:r>
        <w:t>Total licences surrendered - 46</w:t>
      </w:r>
    </w:p>
    <w:p w:rsidR="004F3A30" w:rsidRDefault="004F3A30">
      <w:pPr>
        <w:pStyle w:val="BodyText"/>
        <w:tabs>
          <w:tab w:val="left" w:pos="426"/>
          <w:tab w:val="left" w:pos="709"/>
        </w:tabs>
        <w:ind w:left="709"/>
      </w:pPr>
    </w:p>
    <w:p w:rsidR="004F3A30" w:rsidRDefault="004F3A30">
      <w:pPr>
        <w:pStyle w:val="BodyText"/>
        <w:tabs>
          <w:tab w:val="left" w:pos="426"/>
          <w:tab w:val="left" w:pos="709"/>
        </w:tabs>
        <w:ind w:left="709"/>
      </w:pPr>
      <w:r>
        <w:t>Without alcohol</w:t>
      </w:r>
    </w:p>
    <w:p w:rsidR="004F3A30" w:rsidRDefault="004F3A30">
      <w:pPr>
        <w:pStyle w:val="BodyText"/>
        <w:tabs>
          <w:tab w:val="left" w:pos="709"/>
        </w:tabs>
        <w:ind w:left="709" w:firstLine="11"/>
      </w:pPr>
      <w:r>
        <w:t xml:space="preserve">Previous Report - </w:t>
      </w:r>
      <w:r w:rsidR="00784FE2">
        <w:t>94</w:t>
      </w:r>
    </w:p>
    <w:p w:rsidR="004F3A30" w:rsidRDefault="00652C26">
      <w:pPr>
        <w:pStyle w:val="BodyText"/>
        <w:tabs>
          <w:tab w:val="left" w:pos="709"/>
        </w:tabs>
        <w:ind w:left="709" w:firstLine="11"/>
      </w:pPr>
      <w:r>
        <w:t>Current Licences – 94</w:t>
      </w:r>
    </w:p>
    <w:p w:rsidR="004F3A30" w:rsidRDefault="004F3A30">
      <w:pPr>
        <w:pStyle w:val="BodyText"/>
        <w:tabs>
          <w:tab w:val="left" w:pos="426"/>
          <w:tab w:val="left" w:pos="709"/>
        </w:tabs>
        <w:ind w:left="709"/>
      </w:pPr>
      <w:r>
        <w:t>Tota</w:t>
      </w:r>
      <w:r w:rsidR="0004420B">
        <w:t>l licences surrendered - 8</w:t>
      </w:r>
    </w:p>
    <w:p w:rsidR="004F3A30" w:rsidRDefault="004F3A30">
      <w:pPr>
        <w:pStyle w:val="BodyText"/>
        <w:tabs>
          <w:tab w:val="left" w:pos="426"/>
          <w:tab w:val="left" w:pos="709"/>
        </w:tabs>
        <w:ind w:left="709"/>
      </w:pPr>
    </w:p>
    <w:p w:rsidR="004F3A30" w:rsidRDefault="004F3A30">
      <w:pPr>
        <w:pStyle w:val="BodyText"/>
        <w:tabs>
          <w:tab w:val="left" w:pos="426"/>
          <w:tab w:val="left" w:pos="709"/>
        </w:tabs>
        <w:rPr>
          <w:b/>
        </w:rPr>
      </w:pPr>
      <w:r>
        <w:t>2.3</w:t>
      </w:r>
      <w:r>
        <w:tab/>
      </w:r>
      <w:r>
        <w:tab/>
      </w:r>
      <w:r>
        <w:rPr>
          <w:b/>
        </w:rPr>
        <w:t>Club Premises Certificate</w:t>
      </w:r>
    </w:p>
    <w:p w:rsidR="004F3A30" w:rsidRDefault="004F3A30">
      <w:pPr>
        <w:pStyle w:val="BodyText"/>
        <w:tabs>
          <w:tab w:val="left" w:pos="426"/>
          <w:tab w:val="left" w:pos="709"/>
        </w:tabs>
        <w:ind w:left="709"/>
      </w:pPr>
    </w:p>
    <w:p w:rsidR="004F3A30" w:rsidRDefault="004F3A30">
      <w:pPr>
        <w:pStyle w:val="BodyText"/>
        <w:tabs>
          <w:tab w:val="left" w:pos="709"/>
        </w:tabs>
        <w:ind w:left="709" w:firstLine="11"/>
      </w:pPr>
      <w:r>
        <w:t>With alcohol</w:t>
      </w:r>
    </w:p>
    <w:p w:rsidR="004F3A30" w:rsidRDefault="00784FE2">
      <w:pPr>
        <w:pStyle w:val="BodyText"/>
        <w:tabs>
          <w:tab w:val="left" w:pos="709"/>
        </w:tabs>
        <w:ind w:left="709" w:firstLine="11"/>
      </w:pPr>
      <w:r>
        <w:t>Previous Report - 21</w:t>
      </w:r>
    </w:p>
    <w:p w:rsidR="004F3A30" w:rsidRDefault="00652C26">
      <w:pPr>
        <w:pStyle w:val="BodyText"/>
        <w:tabs>
          <w:tab w:val="left" w:pos="709"/>
        </w:tabs>
        <w:ind w:left="709" w:firstLine="11"/>
      </w:pPr>
      <w:r>
        <w:t>Current Licences – 21</w:t>
      </w:r>
    </w:p>
    <w:p w:rsidR="004F3A30" w:rsidRDefault="00652C26">
      <w:pPr>
        <w:pStyle w:val="BodyText"/>
        <w:tabs>
          <w:tab w:val="left" w:pos="426"/>
          <w:tab w:val="left" w:pos="709"/>
        </w:tabs>
        <w:ind w:left="709"/>
      </w:pPr>
      <w:r>
        <w:t>Total licences surrendered - 5</w:t>
      </w:r>
    </w:p>
    <w:p w:rsidR="004F3A30" w:rsidRDefault="004F3A30">
      <w:pPr>
        <w:pStyle w:val="BodyText"/>
        <w:tabs>
          <w:tab w:val="left" w:pos="426"/>
          <w:tab w:val="left" w:pos="709"/>
        </w:tabs>
        <w:ind w:left="709"/>
      </w:pPr>
    </w:p>
    <w:p w:rsidR="004F3A30" w:rsidRDefault="004F3A30">
      <w:pPr>
        <w:pStyle w:val="BodyText"/>
        <w:tabs>
          <w:tab w:val="left" w:pos="426"/>
          <w:tab w:val="left" w:pos="709"/>
        </w:tabs>
        <w:ind w:left="709"/>
      </w:pPr>
      <w:r>
        <w:t>Without alcohol</w:t>
      </w:r>
    </w:p>
    <w:p w:rsidR="004F3A30" w:rsidRDefault="004F3A30">
      <w:pPr>
        <w:pStyle w:val="BodyText"/>
        <w:tabs>
          <w:tab w:val="left" w:pos="426"/>
          <w:tab w:val="left" w:pos="709"/>
        </w:tabs>
        <w:ind w:left="709"/>
      </w:pPr>
      <w:r>
        <w:t>Previous Report - 0</w:t>
      </w:r>
    </w:p>
    <w:p w:rsidR="004F3A30" w:rsidRDefault="004F3A30">
      <w:pPr>
        <w:pStyle w:val="BodyText"/>
        <w:tabs>
          <w:tab w:val="left" w:pos="426"/>
          <w:tab w:val="left" w:pos="709"/>
        </w:tabs>
        <w:ind w:left="709"/>
      </w:pPr>
      <w:r>
        <w:t>Current Licences – 0</w:t>
      </w:r>
    </w:p>
    <w:p w:rsidR="003A723F" w:rsidRDefault="003A723F">
      <w:pPr>
        <w:pStyle w:val="BodyText"/>
        <w:tabs>
          <w:tab w:val="left" w:pos="426"/>
          <w:tab w:val="left" w:pos="709"/>
        </w:tabs>
        <w:ind w:left="709"/>
      </w:pPr>
    </w:p>
    <w:p w:rsidR="003A723F" w:rsidRDefault="003A723F">
      <w:pPr>
        <w:pStyle w:val="BodyText"/>
        <w:tabs>
          <w:tab w:val="left" w:pos="426"/>
          <w:tab w:val="left" w:pos="709"/>
        </w:tabs>
        <w:ind w:left="709"/>
      </w:pPr>
    </w:p>
    <w:p w:rsidR="004F3A30" w:rsidRDefault="004F3A30">
      <w:pPr>
        <w:pStyle w:val="BodyText"/>
        <w:numPr>
          <w:ilvl w:val="1"/>
          <w:numId w:val="19"/>
        </w:numPr>
        <w:rPr>
          <w:b/>
        </w:rPr>
      </w:pPr>
      <w:r>
        <w:rPr>
          <w:b/>
        </w:rPr>
        <w:t>Temporary Event Notices</w:t>
      </w:r>
    </w:p>
    <w:p w:rsidR="004F3A30" w:rsidRDefault="004F3A30">
      <w:pPr>
        <w:pStyle w:val="BodyText"/>
        <w:tabs>
          <w:tab w:val="left" w:pos="709"/>
        </w:tabs>
        <w:rPr>
          <w:b/>
        </w:rPr>
      </w:pPr>
    </w:p>
    <w:tbl>
      <w:tblPr>
        <w:tblW w:w="0" w:type="auto"/>
        <w:tblInd w:w="817" w:type="dxa"/>
        <w:tblLayout w:type="fixed"/>
        <w:tblLook w:val="0000"/>
      </w:tblPr>
      <w:tblGrid>
        <w:gridCol w:w="1701"/>
        <w:gridCol w:w="1701"/>
        <w:gridCol w:w="1701"/>
      </w:tblGrid>
      <w:tr w:rsidR="004F3A30">
        <w:tc>
          <w:tcPr>
            <w:tcW w:w="1701" w:type="dxa"/>
          </w:tcPr>
          <w:p w:rsidR="004F3A30" w:rsidRDefault="004F3A30">
            <w:pPr>
              <w:pStyle w:val="BodyText"/>
              <w:tabs>
                <w:tab w:val="left" w:pos="709"/>
              </w:tabs>
            </w:pPr>
          </w:p>
        </w:tc>
        <w:tc>
          <w:tcPr>
            <w:tcW w:w="1701" w:type="dxa"/>
          </w:tcPr>
          <w:p w:rsidR="004F3A30" w:rsidRDefault="004F3A30">
            <w:pPr>
              <w:pStyle w:val="BodyText"/>
              <w:tabs>
                <w:tab w:val="left" w:pos="709"/>
              </w:tabs>
            </w:pPr>
            <w:r>
              <w:t>No. Received</w:t>
            </w:r>
          </w:p>
        </w:tc>
        <w:tc>
          <w:tcPr>
            <w:tcW w:w="1701" w:type="dxa"/>
          </w:tcPr>
          <w:p w:rsidR="004F3A30" w:rsidRDefault="004F3A30">
            <w:pPr>
              <w:pStyle w:val="BodyText"/>
              <w:tabs>
                <w:tab w:val="left" w:pos="709"/>
              </w:tabs>
            </w:pPr>
            <w:r>
              <w:t>No. Refused</w:t>
            </w:r>
          </w:p>
        </w:tc>
      </w:tr>
      <w:tr w:rsidR="004F3A30">
        <w:tc>
          <w:tcPr>
            <w:tcW w:w="1701" w:type="dxa"/>
          </w:tcPr>
          <w:p w:rsidR="004F3A30" w:rsidRDefault="004F3A30">
            <w:pPr>
              <w:pStyle w:val="BodyText"/>
              <w:tabs>
                <w:tab w:val="left" w:pos="709"/>
              </w:tabs>
            </w:pPr>
            <w:r>
              <w:t>2006</w:t>
            </w:r>
          </w:p>
        </w:tc>
        <w:tc>
          <w:tcPr>
            <w:tcW w:w="1701" w:type="dxa"/>
          </w:tcPr>
          <w:p w:rsidR="004F3A30" w:rsidRDefault="004F3A30">
            <w:pPr>
              <w:pStyle w:val="BodyText"/>
              <w:tabs>
                <w:tab w:val="left" w:pos="709"/>
              </w:tabs>
            </w:pPr>
            <w:r>
              <w:t>199</w:t>
            </w:r>
          </w:p>
        </w:tc>
        <w:tc>
          <w:tcPr>
            <w:tcW w:w="1701" w:type="dxa"/>
          </w:tcPr>
          <w:p w:rsidR="004F3A30" w:rsidRDefault="004F3A30">
            <w:pPr>
              <w:pStyle w:val="BodyText"/>
              <w:tabs>
                <w:tab w:val="left" w:pos="709"/>
              </w:tabs>
            </w:pPr>
            <w:r>
              <w:t>5</w:t>
            </w:r>
          </w:p>
        </w:tc>
      </w:tr>
      <w:tr w:rsidR="004F3A30">
        <w:tc>
          <w:tcPr>
            <w:tcW w:w="1701" w:type="dxa"/>
          </w:tcPr>
          <w:p w:rsidR="004F3A30" w:rsidRDefault="004F3A30">
            <w:pPr>
              <w:pStyle w:val="BodyText"/>
              <w:tabs>
                <w:tab w:val="left" w:pos="709"/>
              </w:tabs>
            </w:pPr>
            <w:r>
              <w:lastRenderedPageBreak/>
              <w:t>2007</w:t>
            </w:r>
          </w:p>
        </w:tc>
        <w:tc>
          <w:tcPr>
            <w:tcW w:w="1701" w:type="dxa"/>
          </w:tcPr>
          <w:p w:rsidR="004F3A30" w:rsidRDefault="004F3A30">
            <w:pPr>
              <w:pStyle w:val="BodyText"/>
              <w:tabs>
                <w:tab w:val="left" w:pos="709"/>
              </w:tabs>
            </w:pPr>
            <w:r>
              <w:t>261</w:t>
            </w:r>
          </w:p>
        </w:tc>
        <w:tc>
          <w:tcPr>
            <w:tcW w:w="1701" w:type="dxa"/>
          </w:tcPr>
          <w:p w:rsidR="004F3A30" w:rsidRDefault="004F3A30">
            <w:pPr>
              <w:pStyle w:val="BodyText"/>
              <w:tabs>
                <w:tab w:val="left" w:pos="709"/>
              </w:tabs>
            </w:pPr>
            <w:r>
              <w:t>3</w:t>
            </w:r>
          </w:p>
        </w:tc>
      </w:tr>
      <w:tr w:rsidR="004F3A30">
        <w:tc>
          <w:tcPr>
            <w:tcW w:w="1701" w:type="dxa"/>
          </w:tcPr>
          <w:p w:rsidR="004F3A30" w:rsidRDefault="003A723F">
            <w:pPr>
              <w:pStyle w:val="BodyText"/>
              <w:tabs>
                <w:tab w:val="left" w:pos="709"/>
              </w:tabs>
            </w:pPr>
            <w:r>
              <w:t>2008</w:t>
            </w:r>
          </w:p>
          <w:p w:rsidR="003A723F" w:rsidRDefault="0004420B">
            <w:pPr>
              <w:pStyle w:val="BodyText"/>
              <w:tabs>
                <w:tab w:val="left" w:pos="709"/>
              </w:tabs>
            </w:pPr>
            <w:r>
              <w:t>2009</w:t>
            </w:r>
          </w:p>
          <w:p w:rsidR="0004420B" w:rsidRDefault="0004420B">
            <w:pPr>
              <w:pStyle w:val="BodyText"/>
              <w:tabs>
                <w:tab w:val="left" w:pos="709"/>
              </w:tabs>
            </w:pPr>
            <w:r>
              <w:t>2010 to date</w:t>
            </w:r>
          </w:p>
        </w:tc>
        <w:tc>
          <w:tcPr>
            <w:tcW w:w="1701" w:type="dxa"/>
          </w:tcPr>
          <w:p w:rsidR="004F3A30" w:rsidRDefault="003A723F">
            <w:pPr>
              <w:pStyle w:val="BodyText"/>
              <w:tabs>
                <w:tab w:val="left" w:pos="709"/>
              </w:tabs>
            </w:pPr>
            <w:r>
              <w:t>26</w:t>
            </w:r>
            <w:r w:rsidR="004F3A30">
              <w:t>7</w:t>
            </w:r>
          </w:p>
          <w:p w:rsidR="003A723F" w:rsidRDefault="00C45857">
            <w:pPr>
              <w:pStyle w:val="BodyText"/>
              <w:tabs>
                <w:tab w:val="left" w:pos="709"/>
              </w:tabs>
            </w:pPr>
            <w:r>
              <w:t>203</w:t>
            </w:r>
          </w:p>
          <w:p w:rsidR="0004420B" w:rsidRDefault="00784FE2">
            <w:pPr>
              <w:pStyle w:val="BodyText"/>
              <w:tabs>
                <w:tab w:val="left" w:pos="709"/>
              </w:tabs>
            </w:pPr>
            <w:r>
              <w:t>131</w:t>
            </w:r>
          </w:p>
        </w:tc>
        <w:tc>
          <w:tcPr>
            <w:tcW w:w="1701" w:type="dxa"/>
          </w:tcPr>
          <w:p w:rsidR="003A723F" w:rsidRDefault="004F3A30">
            <w:pPr>
              <w:pStyle w:val="BodyText"/>
              <w:tabs>
                <w:tab w:val="left" w:pos="709"/>
              </w:tabs>
            </w:pPr>
            <w:r>
              <w:t>2</w:t>
            </w:r>
          </w:p>
          <w:p w:rsidR="003A723F" w:rsidRDefault="0004420B" w:rsidP="003A723F">
            <w:pPr>
              <w:pStyle w:val="BodyText"/>
              <w:tabs>
                <w:tab w:val="left" w:pos="709"/>
              </w:tabs>
            </w:pPr>
            <w:r>
              <w:t>12</w:t>
            </w:r>
          </w:p>
          <w:p w:rsidR="0004420B" w:rsidRDefault="00D770E6" w:rsidP="003A723F">
            <w:pPr>
              <w:pStyle w:val="BodyText"/>
              <w:tabs>
                <w:tab w:val="left" w:pos="709"/>
              </w:tabs>
            </w:pPr>
            <w:r>
              <w:t>2</w:t>
            </w:r>
          </w:p>
          <w:p w:rsidR="003A723F" w:rsidRDefault="003A723F" w:rsidP="003A723F">
            <w:pPr>
              <w:pStyle w:val="BodyText"/>
              <w:tabs>
                <w:tab w:val="left" w:pos="709"/>
              </w:tabs>
              <w:ind w:left="-3368"/>
            </w:pPr>
          </w:p>
        </w:tc>
      </w:tr>
    </w:tbl>
    <w:p w:rsidR="004F3A30" w:rsidRDefault="004F3A30">
      <w:pPr>
        <w:pStyle w:val="BodyText"/>
        <w:tabs>
          <w:tab w:val="left" w:pos="709"/>
        </w:tabs>
        <w:rPr>
          <w:b/>
        </w:rPr>
      </w:pPr>
    </w:p>
    <w:p w:rsidR="004F3A30" w:rsidRDefault="00C45857">
      <w:pPr>
        <w:pStyle w:val="BodyText"/>
        <w:numPr>
          <w:ilvl w:val="1"/>
          <w:numId w:val="19"/>
        </w:numPr>
        <w:tabs>
          <w:tab w:val="clear" w:pos="705"/>
          <w:tab w:val="left" w:pos="709"/>
        </w:tabs>
        <w:rPr>
          <w:b/>
        </w:rPr>
      </w:pPr>
      <w:r>
        <w:rPr>
          <w:b/>
        </w:rPr>
        <w:t>Current applications</w:t>
      </w:r>
      <w:r w:rsidR="004F3A30">
        <w:rPr>
          <w:b/>
        </w:rPr>
        <w:t xml:space="preserve"> – Includes </w:t>
      </w:r>
      <w:r>
        <w:rPr>
          <w:b/>
        </w:rPr>
        <w:t xml:space="preserve">new, </w:t>
      </w:r>
      <w:r w:rsidR="004F3A30">
        <w:rPr>
          <w:b/>
        </w:rPr>
        <w:t>change of DPS, variation of hours, transfers etc.</w:t>
      </w:r>
    </w:p>
    <w:p w:rsidR="004F3A30" w:rsidRDefault="004F3A30">
      <w:pPr>
        <w:pStyle w:val="BodyText"/>
        <w:tabs>
          <w:tab w:val="left" w:pos="709"/>
        </w:tabs>
        <w:rPr>
          <w:b/>
        </w:rPr>
      </w:pPr>
    </w:p>
    <w:p w:rsidR="004F3A30" w:rsidRDefault="00784FE2">
      <w:pPr>
        <w:pStyle w:val="BodyText"/>
        <w:tabs>
          <w:tab w:val="left" w:pos="709"/>
        </w:tabs>
        <w:ind w:left="709" w:firstLine="11"/>
      </w:pPr>
      <w:r>
        <w:t>Pending applications – 15</w:t>
      </w:r>
    </w:p>
    <w:p w:rsidR="004F3A30" w:rsidRDefault="004F3A30">
      <w:pPr>
        <w:pStyle w:val="BodyText"/>
        <w:tabs>
          <w:tab w:val="left" w:pos="0"/>
        </w:tabs>
      </w:pPr>
    </w:p>
    <w:p w:rsidR="004F3A30" w:rsidRDefault="004F3A30">
      <w:pPr>
        <w:pStyle w:val="BodyText"/>
        <w:tabs>
          <w:tab w:val="left" w:pos="0"/>
        </w:tabs>
        <w:rPr>
          <w:b/>
        </w:rPr>
      </w:pPr>
      <w:r>
        <w:rPr>
          <w:b/>
        </w:rPr>
        <w:t>Current Issues</w:t>
      </w:r>
    </w:p>
    <w:p w:rsidR="004F3A30" w:rsidRDefault="004F3A30">
      <w:pPr>
        <w:pStyle w:val="BodyText"/>
        <w:tabs>
          <w:tab w:val="left" w:pos="0"/>
        </w:tabs>
      </w:pPr>
    </w:p>
    <w:p w:rsidR="00C562BC" w:rsidRDefault="00652C26" w:rsidP="00276E2E">
      <w:pPr>
        <w:pStyle w:val="BodyText"/>
        <w:numPr>
          <w:ilvl w:val="1"/>
          <w:numId w:val="23"/>
        </w:numPr>
        <w:tabs>
          <w:tab w:val="left" w:pos="0"/>
        </w:tabs>
        <w:ind w:left="709" w:hanging="709"/>
      </w:pPr>
      <w:r>
        <w:t xml:space="preserve">A number of </w:t>
      </w:r>
      <w:r w:rsidR="00D770E6">
        <w:t xml:space="preserve">amendments to </w:t>
      </w:r>
      <w:r w:rsidR="00C760E8">
        <w:t xml:space="preserve">licensing </w:t>
      </w:r>
      <w:r w:rsidR="00D770E6">
        <w:t>legislation</w:t>
      </w:r>
      <w:r>
        <w:t xml:space="preserve"> have either recently taken place or are </w:t>
      </w:r>
      <w:r w:rsidR="00AA718B">
        <w:t xml:space="preserve">currently </w:t>
      </w:r>
      <w:r>
        <w:t xml:space="preserve">in the process of </w:t>
      </w:r>
      <w:r w:rsidR="00D770E6">
        <w:t>changing</w:t>
      </w:r>
      <w:r w:rsidR="00C562BC">
        <w:t>:</w:t>
      </w:r>
    </w:p>
    <w:p w:rsidR="00C562BC" w:rsidRDefault="00C562BC" w:rsidP="00C562BC">
      <w:pPr>
        <w:pStyle w:val="BodyText"/>
        <w:tabs>
          <w:tab w:val="left" w:pos="0"/>
        </w:tabs>
        <w:ind w:left="709"/>
      </w:pPr>
    </w:p>
    <w:p w:rsidR="00024308" w:rsidRDefault="00024308" w:rsidP="00C562BC">
      <w:pPr>
        <w:pStyle w:val="BodyText"/>
        <w:tabs>
          <w:tab w:val="left" w:pos="0"/>
        </w:tabs>
        <w:ind w:left="709"/>
      </w:pPr>
      <w:r>
        <w:rPr>
          <w:b/>
        </w:rPr>
        <w:t xml:space="preserve">Elected Members of Licensing Authority – </w:t>
      </w:r>
      <w:r w:rsidRPr="00024308">
        <w:rPr>
          <w:b/>
        </w:rPr>
        <w:t>Interested Parties</w:t>
      </w:r>
    </w:p>
    <w:p w:rsidR="00024308" w:rsidRDefault="00024308" w:rsidP="00C562BC">
      <w:pPr>
        <w:pStyle w:val="BodyText"/>
        <w:tabs>
          <w:tab w:val="left" w:pos="0"/>
        </w:tabs>
        <w:ind w:left="709"/>
      </w:pPr>
    </w:p>
    <w:p w:rsidR="00024308" w:rsidRDefault="00024308" w:rsidP="00C562BC">
      <w:pPr>
        <w:pStyle w:val="BodyText"/>
        <w:tabs>
          <w:tab w:val="left" w:pos="0"/>
        </w:tabs>
        <w:ind w:left="709"/>
      </w:pPr>
      <w:r>
        <w:t xml:space="preserve">The Policing and Crime Act 2009 </w:t>
      </w:r>
      <w:r w:rsidR="00486170">
        <w:t xml:space="preserve">section 33 </w:t>
      </w:r>
      <w:r>
        <w:t xml:space="preserve">introduced an amendment to the Licensing Act </w:t>
      </w:r>
      <w:r w:rsidR="00AA718B">
        <w:t>2003 with regard to interested p</w:t>
      </w:r>
      <w:r>
        <w:t>arties.</w:t>
      </w:r>
    </w:p>
    <w:p w:rsidR="00024308" w:rsidRDefault="00024308" w:rsidP="00C562BC">
      <w:pPr>
        <w:pStyle w:val="BodyText"/>
        <w:tabs>
          <w:tab w:val="left" w:pos="0"/>
        </w:tabs>
        <w:ind w:left="709"/>
      </w:pPr>
    </w:p>
    <w:p w:rsidR="00B840E6" w:rsidRDefault="00B840E6" w:rsidP="00486170">
      <w:pPr>
        <w:pStyle w:val="NormalWeb"/>
        <w:ind w:left="709"/>
        <w:rPr>
          <w:rFonts w:ascii="Arial" w:hAnsi="Arial" w:cs="Arial"/>
        </w:rPr>
      </w:pPr>
      <w:r w:rsidRPr="00486170">
        <w:rPr>
          <w:rFonts w:ascii="Arial" w:hAnsi="Arial" w:cs="Arial"/>
        </w:rPr>
        <w:t>The effect  is that the definition of “interested parties” (s13(3) Licensing Act 2003) has been expanded to include all members of local authorities that are also licensing authorities, so that elected councillors of the licensing authority can now make representations or seek a r</w:t>
      </w:r>
      <w:r w:rsidR="00486170">
        <w:rPr>
          <w:rFonts w:ascii="Arial" w:hAnsi="Arial" w:cs="Arial"/>
        </w:rPr>
        <w:t xml:space="preserve">eview in their own right. </w:t>
      </w:r>
      <w:r w:rsidR="00486170">
        <w:rPr>
          <w:rFonts w:ascii="Arial" w:hAnsi="Arial" w:cs="Arial"/>
        </w:rPr>
        <w:br/>
      </w:r>
      <w:r w:rsidR="00486170">
        <w:rPr>
          <w:rFonts w:ascii="Arial" w:hAnsi="Arial" w:cs="Arial"/>
        </w:rPr>
        <w:br/>
      </w:r>
      <w:r w:rsidRPr="00486170">
        <w:rPr>
          <w:rFonts w:ascii="Arial" w:hAnsi="Arial" w:cs="Arial"/>
        </w:rPr>
        <w:t>Elected councillors are not required to live in the vicinity or in the same ward as the licensed premises they are making a representation about, and are not required to have been requested to act by any other person or body.</w:t>
      </w:r>
      <w:r w:rsidRPr="00486170">
        <w:rPr>
          <w:rFonts w:ascii="Arial" w:hAnsi="Arial" w:cs="Arial"/>
        </w:rPr>
        <w:br/>
      </w:r>
      <w:r w:rsidRPr="00486170">
        <w:rPr>
          <w:rFonts w:ascii="Arial" w:hAnsi="Arial" w:cs="Arial"/>
        </w:rPr>
        <w:br/>
        <w:t>The term "member of the licensing authority" refers only to elected councillors, and not officers or other employees of the authority.</w:t>
      </w:r>
    </w:p>
    <w:p w:rsidR="00486170" w:rsidRPr="00486170" w:rsidRDefault="00784FE2" w:rsidP="00486170">
      <w:pPr>
        <w:pStyle w:val="NormalWeb"/>
        <w:ind w:left="709"/>
        <w:rPr>
          <w:rFonts w:ascii="Arial" w:hAnsi="Arial" w:cs="Arial"/>
        </w:rPr>
      </w:pPr>
      <w:r>
        <w:rPr>
          <w:rFonts w:ascii="Arial" w:hAnsi="Arial" w:cs="Arial"/>
        </w:rPr>
        <w:t xml:space="preserve">A copy of </w:t>
      </w:r>
      <w:r w:rsidR="00486170">
        <w:rPr>
          <w:rFonts w:ascii="Arial" w:hAnsi="Arial" w:cs="Arial"/>
        </w:rPr>
        <w:t xml:space="preserve">LACORS Guidance to Elected Members </w:t>
      </w:r>
      <w:r>
        <w:rPr>
          <w:rFonts w:ascii="Arial" w:hAnsi="Arial" w:cs="Arial"/>
        </w:rPr>
        <w:t>will be sent to all Members and additional copies are</w:t>
      </w:r>
      <w:r w:rsidR="00486170">
        <w:rPr>
          <w:rFonts w:ascii="Arial" w:hAnsi="Arial" w:cs="Arial"/>
        </w:rPr>
        <w:t xml:space="preserve"> available from the licensing office.</w:t>
      </w:r>
    </w:p>
    <w:p w:rsidR="00024308" w:rsidRDefault="00024308" w:rsidP="00C562BC">
      <w:pPr>
        <w:pStyle w:val="BodyText"/>
        <w:tabs>
          <w:tab w:val="left" w:pos="0"/>
        </w:tabs>
        <w:ind w:left="709"/>
      </w:pPr>
    </w:p>
    <w:p w:rsidR="00C562BC" w:rsidRPr="00C562BC" w:rsidRDefault="00ED0C7E" w:rsidP="00C562BC">
      <w:pPr>
        <w:pStyle w:val="BodyText"/>
        <w:tabs>
          <w:tab w:val="left" w:pos="0"/>
        </w:tabs>
        <w:ind w:left="709"/>
        <w:rPr>
          <w:b/>
        </w:rPr>
      </w:pPr>
      <w:r w:rsidRPr="00024308">
        <w:rPr>
          <w:b/>
        </w:rPr>
        <w:t>Mandatory Conditions</w:t>
      </w:r>
      <w:r>
        <w:rPr>
          <w:b/>
        </w:rPr>
        <w:t xml:space="preserve"> – Licensing Act 2003</w:t>
      </w:r>
    </w:p>
    <w:p w:rsidR="0004420B" w:rsidRDefault="00ED0C7E" w:rsidP="00C562BC">
      <w:pPr>
        <w:pStyle w:val="BodyText"/>
        <w:tabs>
          <w:tab w:val="left" w:pos="0"/>
        </w:tabs>
        <w:ind w:left="709"/>
      </w:pPr>
      <w:r>
        <w:t>Schedule 4 of the Policing and Crime Act 2009 amends the Licensing Act 2003 to give the Secretary of State the power to impose up to nine mandatory licensing conditions in relation to the supply of alcohol under a licence.</w:t>
      </w:r>
    </w:p>
    <w:p w:rsidR="00ED0C7E" w:rsidRDefault="00ED0C7E" w:rsidP="00C562BC">
      <w:pPr>
        <w:pStyle w:val="BodyText"/>
        <w:tabs>
          <w:tab w:val="left" w:pos="0"/>
        </w:tabs>
        <w:ind w:left="709"/>
      </w:pPr>
    </w:p>
    <w:p w:rsidR="00ED0C7E" w:rsidRDefault="003E59EF" w:rsidP="00C562BC">
      <w:pPr>
        <w:pStyle w:val="BodyText"/>
        <w:tabs>
          <w:tab w:val="left" w:pos="0"/>
        </w:tabs>
        <w:ind w:left="709"/>
      </w:pPr>
      <w:r>
        <w:t>New mandatory conditions have been published, some to take effect on 6</w:t>
      </w:r>
      <w:r w:rsidRPr="003E59EF">
        <w:rPr>
          <w:vertAlign w:val="superscript"/>
        </w:rPr>
        <w:t>th</w:t>
      </w:r>
      <w:r>
        <w:t xml:space="preserve"> April and the remaining two on 1</w:t>
      </w:r>
      <w:r w:rsidRPr="003E59EF">
        <w:rPr>
          <w:vertAlign w:val="superscript"/>
        </w:rPr>
        <w:t>st</w:t>
      </w:r>
      <w:r>
        <w:t xml:space="preserve"> October 2010.  The conditions override any conditions already included in a premises licence or club premises certificate, so far as they are identical to the existing conditions or inconsistent with, and more onerous than, the existing conditions.</w:t>
      </w:r>
    </w:p>
    <w:p w:rsidR="003E59EF" w:rsidRDefault="003E59EF" w:rsidP="00C562BC">
      <w:pPr>
        <w:pStyle w:val="BodyText"/>
        <w:tabs>
          <w:tab w:val="left" w:pos="0"/>
        </w:tabs>
        <w:ind w:left="709"/>
      </w:pPr>
    </w:p>
    <w:p w:rsidR="003E59EF" w:rsidRDefault="003E59EF" w:rsidP="00C562BC">
      <w:pPr>
        <w:pStyle w:val="BodyText"/>
        <w:tabs>
          <w:tab w:val="left" w:pos="0"/>
        </w:tabs>
        <w:ind w:left="709"/>
      </w:pPr>
      <w:r>
        <w:t>Very briefly the new mandatory conditions are as follows:</w:t>
      </w:r>
    </w:p>
    <w:p w:rsidR="00D13E90" w:rsidRDefault="00D13E90" w:rsidP="00C562BC">
      <w:pPr>
        <w:pStyle w:val="BodyText"/>
        <w:tabs>
          <w:tab w:val="left" w:pos="0"/>
        </w:tabs>
        <w:ind w:left="709"/>
      </w:pPr>
    </w:p>
    <w:p w:rsidR="003E59EF" w:rsidRDefault="003E59EF" w:rsidP="00C562BC">
      <w:pPr>
        <w:pStyle w:val="BodyText"/>
        <w:tabs>
          <w:tab w:val="left" w:pos="0"/>
        </w:tabs>
        <w:ind w:left="709"/>
      </w:pPr>
    </w:p>
    <w:p w:rsidR="003E59EF" w:rsidRDefault="00D13E90" w:rsidP="00C562BC">
      <w:pPr>
        <w:pStyle w:val="BodyText"/>
        <w:tabs>
          <w:tab w:val="left" w:pos="0"/>
        </w:tabs>
        <w:ind w:left="709"/>
      </w:pPr>
      <w:r>
        <w:lastRenderedPageBreak/>
        <w:t xml:space="preserve">Effective date:  </w:t>
      </w:r>
      <w:r w:rsidR="003E59EF">
        <w:t>6</w:t>
      </w:r>
      <w:r w:rsidR="003E59EF" w:rsidRPr="003E59EF">
        <w:rPr>
          <w:vertAlign w:val="superscript"/>
        </w:rPr>
        <w:t>th</w:t>
      </w:r>
      <w:r w:rsidR="003E59EF">
        <w:t xml:space="preserve"> April 2010</w:t>
      </w:r>
    </w:p>
    <w:p w:rsidR="003E59EF" w:rsidRDefault="003E59EF" w:rsidP="003E59EF">
      <w:pPr>
        <w:pStyle w:val="BodyText"/>
        <w:numPr>
          <w:ilvl w:val="0"/>
          <w:numId w:val="20"/>
        </w:numPr>
        <w:tabs>
          <w:tab w:val="left" w:pos="0"/>
        </w:tabs>
      </w:pPr>
      <w:r>
        <w:t>Ban irresponsible drinks promotions</w:t>
      </w:r>
    </w:p>
    <w:p w:rsidR="003E59EF" w:rsidRDefault="003E59EF" w:rsidP="003E59EF">
      <w:pPr>
        <w:pStyle w:val="BodyText"/>
        <w:numPr>
          <w:ilvl w:val="0"/>
          <w:numId w:val="20"/>
        </w:numPr>
        <w:tabs>
          <w:tab w:val="left" w:pos="0"/>
        </w:tabs>
      </w:pPr>
      <w:r>
        <w:t>Ban the dispensing of alcohol directly into the mouth</w:t>
      </w:r>
    </w:p>
    <w:p w:rsidR="003E59EF" w:rsidRDefault="003E59EF" w:rsidP="003E59EF">
      <w:pPr>
        <w:pStyle w:val="BodyText"/>
        <w:numPr>
          <w:ilvl w:val="0"/>
          <w:numId w:val="20"/>
        </w:numPr>
        <w:tabs>
          <w:tab w:val="left" w:pos="0"/>
        </w:tabs>
      </w:pPr>
      <w:r>
        <w:t>Ensure that customers have access to free tap water</w:t>
      </w:r>
    </w:p>
    <w:p w:rsidR="003E59EF" w:rsidRDefault="003E59EF" w:rsidP="003E59EF">
      <w:pPr>
        <w:pStyle w:val="BodyText"/>
        <w:tabs>
          <w:tab w:val="left" w:pos="0"/>
        </w:tabs>
      </w:pPr>
    </w:p>
    <w:p w:rsidR="003E59EF" w:rsidRDefault="003E59EF" w:rsidP="003E59EF">
      <w:pPr>
        <w:pStyle w:val="BodyText"/>
        <w:tabs>
          <w:tab w:val="left" w:pos="0"/>
        </w:tabs>
      </w:pPr>
      <w:r>
        <w:tab/>
      </w:r>
      <w:r w:rsidR="00D13E90">
        <w:t xml:space="preserve">Effective Date: </w:t>
      </w:r>
      <w:r>
        <w:t>1</w:t>
      </w:r>
      <w:r w:rsidRPr="003E59EF">
        <w:rPr>
          <w:vertAlign w:val="superscript"/>
        </w:rPr>
        <w:t>st</w:t>
      </w:r>
      <w:r>
        <w:t xml:space="preserve"> October 2010</w:t>
      </w:r>
    </w:p>
    <w:p w:rsidR="003E59EF" w:rsidRDefault="003E59EF" w:rsidP="003E59EF">
      <w:pPr>
        <w:pStyle w:val="BodyText"/>
        <w:numPr>
          <w:ilvl w:val="0"/>
          <w:numId w:val="22"/>
        </w:numPr>
        <w:tabs>
          <w:tab w:val="left" w:pos="-284"/>
        </w:tabs>
        <w:ind w:hanging="861"/>
      </w:pPr>
      <w:r>
        <w:t>Require age verification policy to be in place to prevent underage sales</w:t>
      </w:r>
    </w:p>
    <w:p w:rsidR="003E59EF" w:rsidRDefault="00AB22A7" w:rsidP="00AB22A7">
      <w:pPr>
        <w:pStyle w:val="BodyText"/>
        <w:numPr>
          <w:ilvl w:val="0"/>
          <w:numId w:val="22"/>
        </w:numPr>
        <w:tabs>
          <w:tab w:val="left" w:pos="-284"/>
        </w:tabs>
        <w:ind w:left="1418" w:hanging="425"/>
      </w:pPr>
      <w:r>
        <w:t>Ensure customers have the opportunity to choose small measures of beers, ciders, spirits and wine</w:t>
      </w:r>
    </w:p>
    <w:p w:rsidR="008725CC" w:rsidRDefault="008725CC" w:rsidP="00C562BC">
      <w:pPr>
        <w:pStyle w:val="BodyText"/>
        <w:tabs>
          <w:tab w:val="left" w:pos="0"/>
        </w:tabs>
        <w:ind w:left="709"/>
      </w:pPr>
    </w:p>
    <w:p w:rsidR="00AB22A7" w:rsidRDefault="00AB22A7" w:rsidP="00C562BC">
      <w:pPr>
        <w:pStyle w:val="BodyText"/>
        <w:tabs>
          <w:tab w:val="left" w:pos="0"/>
        </w:tabs>
        <w:ind w:left="709"/>
      </w:pPr>
      <w:r>
        <w:t xml:space="preserve">The Home Office have not issued advice on how local authorities should implement the new conditions.  </w:t>
      </w:r>
      <w:r w:rsidR="00D13E90">
        <w:t>Cumbria Licensing Managers decided upon a common approach to this.  All licensed premises have been sent a copy of the new mandatory conditions with a letter instructing them to attach them to their licences and inform relevant staff of their existence.  As and when licenses come in for variation, transfer etc. the new conditions will be added as a permanent fixture.</w:t>
      </w:r>
    </w:p>
    <w:p w:rsidR="00AB22A7" w:rsidRDefault="00AB22A7" w:rsidP="00C562BC">
      <w:pPr>
        <w:pStyle w:val="BodyText"/>
        <w:tabs>
          <w:tab w:val="left" w:pos="0"/>
        </w:tabs>
        <w:ind w:left="709"/>
      </w:pPr>
    </w:p>
    <w:p w:rsidR="008725CC" w:rsidRPr="008725CC" w:rsidRDefault="00D770E6" w:rsidP="00C562BC">
      <w:pPr>
        <w:pStyle w:val="BodyText"/>
        <w:tabs>
          <w:tab w:val="left" w:pos="0"/>
        </w:tabs>
        <w:ind w:left="709"/>
        <w:rPr>
          <w:b/>
        </w:rPr>
      </w:pPr>
      <w:r>
        <w:rPr>
          <w:b/>
        </w:rPr>
        <w:t>Sex Entertainment Venues</w:t>
      </w:r>
    </w:p>
    <w:p w:rsidR="0004420B" w:rsidRDefault="00D770E6" w:rsidP="00C562BC">
      <w:pPr>
        <w:pStyle w:val="BodyText"/>
        <w:tabs>
          <w:tab w:val="left" w:pos="0"/>
        </w:tabs>
        <w:ind w:left="709"/>
      </w:pPr>
      <w:r>
        <w:t>Prior to the Licensing Act 2003 (LA2003), public entertainment was licensed by local authorities who could impose ‘reasonable conditions’ on the licence.  Any premises wanting to hold ‘adult entertainment’ had additional conditions attached to their licence for the protection of the public and performers.  The LA2003 changed the legislation</w:t>
      </w:r>
      <w:r w:rsidR="0032426C">
        <w:t xml:space="preserve"> whereby </w:t>
      </w:r>
      <w:r w:rsidR="00D13E90">
        <w:t>applicants</w:t>
      </w:r>
      <w:r w:rsidR="0032426C">
        <w:t xml:space="preserve"> propose their own Operating Schedule and if there are no representations from responsible authorities, the licence must be granted.</w:t>
      </w:r>
    </w:p>
    <w:p w:rsidR="0032426C" w:rsidRDefault="0032426C" w:rsidP="00C562BC">
      <w:pPr>
        <w:pStyle w:val="BodyText"/>
        <w:tabs>
          <w:tab w:val="left" w:pos="0"/>
        </w:tabs>
        <w:ind w:left="709"/>
      </w:pPr>
    </w:p>
    <w:p w:rsidR="0032426C" w:rsidRDefault="0032426C" w:rsidP="00C562BC">
      <w:pPr>
        <w:pStyle w:val="BodyText"/>
        <w:tabs>
          <w:tab w:val="left" w:pos="0"/>
        </w:tabs>
        <w:ind w:left="709"/>
      </w:pPr>
      <w:r>
        <w:t xml:space="preserve">Sex </w:t>
      </w:r>
      <w:r w:rsidR="00C06DA2">
        <w:t>establishments</w:t>
      </w:r>
      <w:r>
        <w:t xml:space="preserve"> are covered by </w:t>
      </w:r>
      <w:r w:rsidR="00C06DA2">
        <w:t xml:space="preserve">Schedule 3 of </w:t>
      </w:r>
      <w:r>
        <w:t>the Local Government (Miscellaneous Provisions) Act 1982 (LGMPA1982) which is adoptive legislation.  Carlisle City Council adopted this Act in 1983.</w:t>
      </w:r>
    </w:p>
    <w:p w:rsidR="0032426C" w:rsidRDefault="0032426C" w:rsidP="00C562BC">
      <w:pPr>
        <w:pStyle w:val="BodyText"/>
        <w:tabs>
          <w:tab w:val="left" w:pos="0"/>
        </w:tabs>
        <w:ind w:left="709"/>
      </w:pPr>
    </w:p>
    <w:p w:rsidR="0032426C" w:rsidRDefault="0032426C" w:rsidP="00C562BC">
      <w:pPr>
        <w:pStyle w:val="BodyText"/>
        <w:tabs>
          <w:tab w:val="left" w:pos="0"/>
        </w:tabs>
        <w:ind w:left="709"/>
      </w:pPr>
      <w:r>
        <w:t xml:space="preserve">Section 27 of the Policing and Crime Act 2009 introduced a new category </w:t>
      </w:r>
      <w:r w:rsidR="00C06DA2">
        <w:t>of sex establishment under Schedule 3 of the LGMPA1982 called Sexual Entertainment Venue, which will allow local authorities to regulate certain types of ‘adult entertainment’.</w:t>
      </w:r>
    </w:p>
    <w:p w:rsidR="00C06DA2" w:rsidRDefault="00C06DA2" w:rsidP="00C562BC">
      <w:pPr>
        <w:pStyle w:val="BodyText"/>
        <w:tabs>
          <w:tab w:val="left" w:pos="0"/>
        </w:tabs>
        <w:ind w:left="709"/>
      </w:pPr>
    </w:p>
    <w:p w:rsidR="00C06DA2" w:rsidRDefault="00C06DA2" w:rsidP="00C562BC">
      <w:pPr>
        <w:pStyle w:val="BodyText"/>
        <w:tabs>
          <w:tab w:val="left" w:pos="0"/>
        </w:tabs>
        <w:ind w:left="709"/>
      </w:pPr>
      <w:r>
        <w:t>Local Authorities will have more powers to control the number and location of lap dancing clubs and similar venues in their area.  These powers are not mandatory and will only apply where they are adopted by local authorities.  Where adopted, these provisions will allow local authorities to refuse an application on potentially wider grounds than is permitted under the LA2003 and will give local people a greater say over the regulation of ‘adult entertainment ‘in their area.</w:t>
      </w:r>
    </w:p>
    <w:p w:rsidR="00013839" w:rsidRDefault="00013839" w:rsidP="00C562BC">
      <w:pPr>
        <w:pStyle w:val="BodyText"/>
        <w:tabs>
          <w:tab w:val="left" w:pos="0"/>
        </w:tabs>
        <w:ind w:left="709"/>
      </w:pPr>
    </w:p>
    <w:p w:rsidR="00013839" w:rsidRDefault="00013839" w:rsidP="00C562BC">
      <w:pPr>
        <w:pStyle w:val="BodyText"/>
        <w:tabs>
          <w:tab w:val="left" w:pos="0"/>
        </w:tabs>
        <w:ind w:left="709"/>
      </w:pPr>
      <w:r>
        <w:t>A full report will be submitted to this committee in due course outlining the options available regarding adoption of this legislation.</w:t>
      </w:r>
    </w:p>
    <w:p w:rsidR="00C562BC" w:rsidRDefault="00C562BC" w:rsidP="00C562BC">
      <w:pPr>
        <w:pStyle w:val="BodyText"/>
        <w:tabs>
          <w:tab w:val="left" w:pos="0"/>
        </w:tabs>
        <w:ind w:left="709"/>
      </w:pPr>
    </w:p>
    <w:p w:rsidR="00C06DA2" w:rsidRPr="00C06DA2" w:rsidRDefault="00C06DA2" w:rsidP="00276E2E">
      <w:pPr>
        <w:pStyle w:val="BodyText"/>
        <w:numPr>
          <w:ilvl w:val="1"/>
          <w:numId w:val="23"/>
        </w:numPr>
        <w:tabs>
          <w:tab w:val="left" w:pos="0"/>
        </w:tabs>
        <w:ind w:left="709" w:hanging="709"/>
        <w:rPr>
          <w:b/>
        </w:rPr>
      </w:pPr>
      <w:r w:rsidRPr="00276E2E">
        <w:rPr>
          <w:b/>
        </w:rPr>
        <w:t>Best</w:t>
      </w:r>
      <w:r w:rsidRPr="00C06DA2">
        <w:rPr>
          <w:b/>
        </w:rPr>
        <w:t xml:space="preserve"> Bar None 2010</w:t>
      </w:r>
    </w:p>
    <w:p w:rsidR="0068635A" w:rsidRDefault="009F41F5" w:rsidP="00C06DA2">
      <w:pPr>
        <w:pStyle w:val="BodyText"/>
        <w:tabs>
          <w:tab w:val="left" w:pos="0"/>
        </w:tabs>
        <w:ind w:left="709"/>
      </w:pPr>
      <w:r>
        <w:t>C</w:t>
      </w:r>
      <w:r w:rsidR="00BC3A2E">
        <w:t xml:space="preserve">arlisle &amp; Eden CDRP </w:t>
      </w:r>
      <w:r w:rsidR="00F6460D">
        <w:t>Best Bar None Scheme</w:t>
      </w:r>
      <w:r>
        <w:t xml:space="preserve"> 20</w:t>
      </w:r>
      <w:r w:rsidR="0068635A">
        <w:t xml:space="preserve">10 was launched just before Christmas at </w:t>
      </w:r>
      <w:r w:rsidR="009F1CBA">
        <w:t xml:space="preserve">a </w:t>
      </w:r>
      <w:r w:rsidR="0068635A">
        <w:t xml:space="preserve">Carlisle </w:t>
      </w:r>
      <w:proofErr w:type="spellStart"/>
      <w:r w:rsidR="0068635A">
        <w:t>Pubwatch</w:t>
      </w:r>
      <w:proofErr w:type="spellEnd"/>
      <w:r w:rsidR="0068635A">
        <w:t xml:space="preserve"> meeting.  This year, for the first time, it </w:t>
      </w:r>
      <w:r w:rsidR="00D13E90">
        <w:t>included</w:t>
      </w:r>
      <w:r w:rsidR="0068635A">
        <w:t xml:space="preserve"> Brampton town centre establishments.</w:t>
      </w:r>
    </w:p>
    <w:p w:rsidR="009F1CBA" w:rsidRDefault="009F1CBA" w:rsidP="00C06DA2">
      <w:pPr>
        <w:pStyle w:val="BodyText"/>
        <w:tabs>
          <w:tab w:val="left" w:pos="0"/>
        </w:tabs>
        <w:ind w:left="709"/>
      </w:pPr>
    </w:p>
    <w:p w:rsidR="00C45857" w:rsidRDefault="009F1CBA" w:rsidP="0068635A">
      <w:pPr>
        <w:pStyle w:val="BodyText"/>
        <w:tabs>
          <w:tab w:val="left" w:pos="0"/>
        </w:tabs>
        <w:ind w:left="709"/>
      </w:pPr>
      <w:r>
        <w:lastRenderedPageBreak/>
        <w:t xml:space="preserve">Thirty licensed premises in Carlisle/Brampton applied and assessments took place in February/March this year.  The </w:t>
      </w:r>
      <w:r w:rsidR="00486170">
        <w:t>independent judging</w:t>
      </w:r>
      <w:r>
        <w:t xml:space="preserve"> to determine the winners took place on 23</w:t>
      </w:r>
      <w:r w:rsidRPr="009F1CBA">
        <w:rPr>
          <w:vertAlign w:val="superscript"/>
        </w:rPr>
        <w:t>rd</w:t>
      </w:r>
      <w:r>
        <w:t xml:space="preserve"> April and the Awards </w:t>
      </w:r>
      <w:r w:rsidR="00784FE2">
        <w:t>were</w:t>
      </w:r>
      <w:r>
        <w:t xml:space="preserve"> presented at a ceremony at the Racecourse on 11</w:t>
      </w:r>
      <w:r w:rsidRPr="009F1CBA">
        <w:rPr>
          <w:vertAlign w:val="superscript"/>
        </w:rPr>
        <w:t>th</w:t>
      </w:r>
      <w:r>
        <w:t xml:space="preserve"> May.</w:t>
      </w:r>
      <w:r w:rsidR="00D13E90">
        <w:t xml:space="preserve">  The winners were:</w:t>
      </w:r>
    </w:p>
    <w:p w:rsidR="00D13E90" w:rsidRDefault="00D13E90" w:rsidP="0068635A">
      <w:pPr>
        <w:pStyle w:val="BodyText"/>
        <w:tabs>
          <w:tab w:val="left" w:pos="0"/>
        </w:tabs>
        <w:ind w:left="709"/>
      </w:pPr>
    </w:p>
    <w:p w:rsidR="00D13E90" w:rsidRDefault="00D13E90" w:rsidP="00D13E90">
      <w:pPr>
        <w:pStyle w:val="BodyText"/>
        <w:tabs>
          <w:tab w:val="left" w:pos="0"/>
          <w:tab w:val="left" w:pos="4962"/>
        </w:tabs>
        <w:ind w:left="709"/>
      </w:pPr>
      <w:r>
        <w:t>Carlisle Overall Best Bar None</w:t>
      </w:r>
      <w:r>
        <w:tab/>
        <w:t>Walkabout</w:t>
      </w:r>
    </w:p>
    <w:p w:rsidR="00D13E90" w:rsidRDefault="00D13E90" w:rsidP="00D13E90">
      <w:pPr>
        <w:pStyle w:val="BodyText"/>
        <w:tabs>
          <w:tab w:val="left" w:pos="0"/>
          <w:tab w:val="left" w:pos="4962"/>
        </w:tabs>
        <w:ind w:left="709"/>
      </w:pPr>
      <w:r>
        <w:t>Carlisle Best Pub</w:t>
      </w:r>
      <w:r>
        <w:tab/>
        <w:t>Turf Tavern</w:t>
      </w:r>
    </w:p>
    <w:p w:rsidR="00D13E90" w:rsidRDefault="00D13E90" w:rsidP="00D13E90">
      <w:pPr>
        <w:pStyle w:val="BodyText"/>
        <w:tabs>
          <w:tab w:val="left" w:pos="0"/>
          <w:tab w:val="left" w:pos="4962"/>
        </w:tabs>
        <w:ind w:left="709"/>
      </w:pPr>
      <w:r>
        <w:t>Carlisle Best Bar</w:t>
      </w:r>
      <w:r>
        <w:tab/>
        <w:t>Unit Bar</w:t>
      </w:r>
      <w:r>
        <w:tab/>
      </w:r>
    </w:p>
    <w:p w:rsidR="00D13E90" w:rsidRDefault="00D13E90" w:rsidP="00D13E90">
      <w:pPr>
        <w:pStyle w:val="BodyText"/>
        <w:tabs>
          <w:tab w:val="left" w:pos="0"/>
          <w:tab w:val="left" w:pos="4962"/>
        </w:tabs>
        <w:ind w:left="709"/>
      </w:pPr>
      <w:r>
        <w:t>Carlisle Best Club</w:t>
      </w:r>
      <w:r>
        <w:tab/>
        <w:t>Walkabout</w:t>
      </w:r>
    </w:p>
    <w:p w:rsidR="00D13E90" w:rsidRPr="0068635A" w:rsidRDefault="00D13E90" w:rsidP="00D13E90">
      <w:pPr>
        <w:pStyle w:val="BodyText"/>
        <w:tabs>
          <w:tab w:val="left" w:pos="0"/>
          <w:tab w:val="left" w:pos="4962"/>
        </w:tabs>
        <w:ind w:left="709"/>
        <w:sectPr w:rsidR="00D13E90" w:rsidRPr="0068635A">
          <w:footerReference w:type="default" r:id="rId7"/>
          <w:type w:val="continuous"/>
          <w:pgSz w:w="11906" w:h="16838"/>
          <w:pgMar w:top="1134" w:right="1134" w:bottom="1440" w:left="1134" w:header="720" w:footer="720" w:gutter="0"/>
          <w:cols w:space="720"/>
        </w:sectPr>
      </w:pPr>
      <w:r>
        <w:t>Brampton Best Premises</w:t>
      </w:r>
      <w:r>
        <w:tab/>
        <w:t>Shoulder of Mutton</w:t>
      </w:r>
    </w:p>
    <w:p w:rsidR="00C45857" w:rsidRDefault="00C45857" w:rsidP="0068635A">
      <w:pPr>
        <w:pStyle w:val="BodyText"/>
        <w:tabs>
          <w:tab w:val="left" w:pos="0"/>
        </w:tabs>
        <w:ind w:right="707"/>
        <w:rPr>
          <w:rFonts w:cs="Arial"/>
          <w:szCs w:val="24"/>
        </w:rPr>
      </w:pPr>
    </w:p>
    <w:p w:rsidR="00C45857" w:rsidRDefault="00C45857" w:rsidP="00F44583">
      <w:pPr>
        <w:pStyle w:val="BodyText"/>
        <w:tabs>
          <w:tab w:val="left" w:pos="0"/>
        </w:tabs>
        <w:ind w:left="709"/>
        <w:rPr>
          <w:rFonts w:cs="Arial"/>
          <w:szCs w:val="24"/>
        </w:rPr>
        <w:sectPr w:rsidR="00C45857" w:rsidSect="00586149">
          <w:type w:val="continuous"/>
          <w:pgSz w:w="11906" w:h="16838"/>
          <w:pgMar w:top="1134" w:right="1134" w:bottom="1440" w:left="1134" w:header="720" w:footer="720" w:gutter="0"/>
          <w:cols w:num="2" w:space="2"/>
        </w:sectPr>
      </w:pPr>
    </w:p>
    <w:p w:rsidR="004F3A30" w:rsidRDefault="004F3A30">
      <w:pPr>
        <w:pStyle w:val="BodyText"/>
        <w:tabs>
          <w:tab w:val="left" w:pos="0"/>
        </w:tabs>
      </w:pPr>
    </w:p>
    <w:p w:rsidR="004F3A30" w:rsidRDefault="004F3A30">
      <w:pPr>
        <w:pStyle w:val="Heading1"/>
      </w:pPr>
      <w:r>
        <w:t>RECOMMENDATION</w:t>
      </w:r>
    </w:p>
    <w:p w:rsidR="004F3A30" w:rsidRDefault="004F3A30">
      <w:pPr>
        <w:rPr>
          <w:rFonts w:ascii="Arial" w:hAnsi="Arial"/>
          <w:sz w:val="24"/>
        </w:rPr>
      </w:pPr>
    </w:p>
    <w:p w:rsidR="004F3A30" w:rsidRDefault="004F3A30">
      <w:pPr>
        <w:rPr>
          <w:rFonts w:ascii="Arial" w:hAnsi="Arial"/>
          <w:sz w:val="24"/>
        </w:rPr>
      </w:pPr>
      <w:r>
        <w:rPr>
          <w:rFonts w:ascii="Arial" w:hAnsi="Arial"/>
          <w:sz w:val="24"/>
        </w:rPr>
        <w:t xml:space="preserve">Members are asked to note </w:t>
      </w:r>
      <w:r w:rsidR="00D13E90">
        <w:rPr>
          <w:rFonts w:ascii="Arial" w:hAnsi="Arial"/>
          <w:sz w:val="24"/>
        </w:rPr>
        <w:t>this report</w:t>
      </w:r>
      <w:r>
        <w:rPr>
          <w:rFonts w:ascii="Arial" w:hAnsi="Arial"/>
          <w:sz w:val="24"/>
        </w:rPr>
        <w:t>.</w:t>
      </w:r>
    </w:p>
    <w:p w:rsidR="004F3A30" w:rsidRDefault="004F3A30">
      <w:pPr>
        <w:spacing w:line="300" w:lineRule="auto"/>
        <w:ind w:left="720" w:hanging="720"/>
        <w:rPr>
          <w:rFonts w:ascii="Arial" w:hAnsi="Arial"/>
          <w:sz w:val="24"/>
        </w:rPr>
      </w:pPr>
    </w:p>
    <w:p w:rsidR="004F3A30" w:rsidRDefault="004F3A30">
      <w:pPr>
        <w:spacing w:line="300" w:lineRule="auto"/>
        <w:ind w:left="720" w:hanging="720"/>
        <w:rPr>
          <w:rFonts w:ascii="Arial" w:hAnsi="Arial"/>
          <w:sz w:val="24"/>
        </w:rPr>
      </w:pPr>
      <w:r>
        <w:rPr>
          <w:rFonts w:ascii="Arial" w:hAnsi="Arial"/>
          <w:sz w:val="24"/>
        </w:rPr>
        <w:t xml:space="preserve">Prepared by: </w:t>
      </w:r>
    </w:p>
    <w:p w:rsidR="004F3A30" w:rsidRDefault="004F3A30">
      <w:pPr>
        <w:spacing w:line="300" w:lineRule="auto"/>
        <w:ind w:left="720" w:hanging="720"/>
        <w:rPr>
          <w:rFonts w:ascii="Arial" w:hAnsi="Arial"/>
          <w:sz w:val="24"/>
        </w:rPr>
      </w:pPr>
      <w:r>
        <w:rPr>
          <w:rFonts w:ascii="Arial" w:hAnsi="Arial"/>
          <w:sz w:val="24"/>
        </w:rPr>
        <w:t>J A Messenger</w:t>
      </w:r>
    </w:p>
    <w:p w:rsidR="004F3A30" w:rsidRDefault="004F3A30">
      <w:pPr>
        <w:spacing w:line="300" w:lineRule="auto"/>
        <w:ind w:left="720" w:hanging="720"/>
        <w:rPr>
          <w:rFonts w:ascii="Arial" w:hAnsi="Arial"/>
          <w:sz w:val="18"/>
        </w:rPr>
      </w:pPr>
      <w:r>
        <w:rPr>
          <w:rFonts w:ascii="Arial" w:hAnsi="Arial"/>
          <w:sz w:val="24"/>
        </w:rPr>
        <w:t>Licensing Manager</w:t>
      </w:r>
    </w:p>
    <w:sectPr w:rsidR="004F3A30" w:rsidSect="00C45857">
      <w:type w:val="continuous"/>
      <w:pgSz w:w="11906" w:h="16838"/>
      <w:pgMar w:top="1134"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DC" w:rsidRDefault="006727DC">
      <w:r>
        <w:separator/>
      </w:r>
    </w:p>
  </w:endnote>
  <w:endnote w:type="continuationSeparator" w:id="0">
    <w:p w:rsidR="006727DC" w:rsidRDefault="00672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AA718B">
      <w:tc>
        <w:tcPr>
          <w:tcW w:w="9286" w:type="dxa"/>
        </w:tcPr>
        <w:p w:rsidR="00AA718B" w:rsidRDefault="00AA718B">
          <w:pPr>
            <w:pStyle w:val="Footer"/>
            <w:rPr>
              <w:rFonts w:ascii="Tahoma" w:hAnsi="Tahoma"/>
              <w:b/>
              <w:sz w:val="18"/>
            </w:rPr>
          </w:pPr>
        </w:p>
      </w:tc>
    </w:tr>
    <w:tr w:rsidR="00AA718B">
      <w:tc>
        <w:tcPr>
          <w:tcW w:w="9286" w:type="dxa"/>
        </w:tcPr>
        <w:p w:rsidR="00AA718B" w:rsidRDefault="00AA718B">
          <w:pPr>
            <w:pStyle w:val="Footer"/>
            <w:jc w:val="center"/>
            <w:rPr>
              <w:rFonts w:ascii="Tahoma" w:hAnsi="Tahoma"/>
              <w:sz w:val="24"/>
            </w:rPr>
          </w:pPr>
        </w:p>
        <w:p w:rsidR="00AA718B" w:rsidRDefault="00AA718B">
          <w:pPr>
            <w:pStyle w:val="Footer"/>
            <w:jc w:val="center"/>
            <w:rPr>
              <w:rFonts w:ascii="Tahoma" w:hAnsi="Tahoma"/>
              <w:sz w:val="24"/>
            </w:rPr>
          </w:pPr>
        </w:p>
      </w:tc>
    </w:tr>
  </w:tbl>
  <w:p w:rsidR="00AA718B" w:rsidRDefault="00AA7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DC" w:rsidRDefault="006727DC">
      <w:r>
        <w:separator/>
      </w:r>
    </w:p>
  </w:footnote>
  <w:footnote w:type="continuationSeparator" w:id="0">
    <w:p w:rsidR="006727DC" w:rsidRDefault="00672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A6A"/>
    <w:multiLevelType w:val="singleLevel"/>
    <w:tmpl w:val="08090011"/>
    <w:lvl w:ilvl="0">
      <w:start w:val="10"/>
      <w:numFmt w:val="decimal"/>
      <w:lvlText w:val="%1)"/>
      <w:lvlJc w:val="left"/>
      <w:pPr>
        <w:tabs>
          <w:tab w:val="num" w:pos="360"/>
        </w:tabs>
        <w:ind w:left="360" w:hanging="360"/>
      </w:pPr>
      <w:rPr>
        <w:rFonts w:hint="default"/>
      </w:rPr>
    </w:lvl>
  </w:abstractNum>
  <w:abstractNum w:abstractNumId="1">
    <w:nsid w:val="07EB7069"/>
    <w:multiLevelType w:val="multilevel"/>
    <w:tmpl w:val="8ADE0630"/>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088A4BC3"/>
    <w:multiLevelType w:val="hybridMultilevel"/>
    <w:tmpl w:val="85E8B7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4EE1BF1"/>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nsid w:val="22124B6A"/>
    <w:multiLevelType w:val="singleLevel"/>
    <w:tmpl w:val="08090011"/>
    <w:lvl w:ilvl="0">
      <w:start w:val="8"/>
      <w:numFmt w:val="decimal"/>
      <w:lvlText w:val="%1)"/>
      <w:lvlJc w:val="left"/>
      <w:pPr>
        <w:tabs>
          <w:tab w:val="num" w:pos="360"/>
        </w:tabs>
        <w:ind w:left="360" w:hanging="360"/>
      </w:pPr>
      <w:rPr>
        <w:rFonts w:hint="default"/>
      </w:rPr>
    </w:lvl>
  </w:abstractNum>
  <w:abstractNum w:abstractNumId="5">
    <w:nsid w:val="22FB3D23"/>
    <w:multiLevelType w:val="multilevel"/>
    <w:tmpl w:val="E1CC01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804994"/>
    <w:multiLevelType w:val="singleLevel"/>
    <w:tmpl w:val="08090011"/>
    <w:lvl w:ilvl="0">
      <w:start w:val="3"/>
      <w:numFmt w:val="decimal"/>
      <w:lvlText w:val="%1)"/>
      <w:lvlJc w:val="left"/>
      <w:pPr>
        <w:tabs>
          <w:tab w:val="num" w:pos="360"/>
        </w:tabs>
        <w:ind w:left="360" w:hanging="360"/>
      </w:pPr>
      <w:rPr>
        <w:rFonts w:hint="default"/>
      </w:rPr>
    </w:lvl>
  </w:abstractNum>
  <w:abstractNum w:abstractNumId="7">
    <w:nsid w:val="2D293728"/>
    <w:multiLevelType w:val="multilevel"/>
    <w:tmpl w:val="5416436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C5C55"/>
    <w:multiLevelType w:val="singleLevel"/>
    <w:tmpl w:val="08090011"/>
    <w:lvl w:ilvl="0">
      <w:start w:val="1"/>
      <w:numFmt w:val="decimal"/>
      <w:lvlText w:val="%1)"/>
      <w:lvlJc w:val="left"/>
      <w:pPr>
        <w:tabs>
          <w:tab w:val="num" w:pos="360"/>
        </w:tabs>
        <w:ind w:left="360" w:hanging="360"/>
      </w:pPr>
      <w:rPr>
        <w:rFonts w:hint="default"/>
      </w:rPr>
    </w:lvl>
  </w:abstractNum>
  <w:abstractNum w:abstractNumId="9">
    <w:nsid w:val="39732C11"/>
    <w:multiLevelType w:val="multilevel"/>
    <w:tmpl w:val="98D216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2708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D720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0732BC2"/>
    <w:multiLevelType w:val="multilevel"/>
    <w:tmpl w:val="F64ECB3C"/>
    <w:lvl w:ilvl="0">
      <w:start w:val="2"/>
      <w:numFmt w:val="decimal"/>
      <w:lvlText w:val="%1"/>
      <w:lvlJc w:val="left"/>
      <w:pPr>
        <w:tabs>
          <w:tab w:val="num" w:pos="705"/>
        </w:tabs>
        <w:ind w:left="705" w:hanging="705"/>
      </w:pPr>
      <w:rPr>
        <w:rFonts w:hint="default"/>
        <w:b w:val="0"/>
      </w:rPr>
    </w:lvl>
    <w:lvl w:ilvl="1">
      <w:start w:val="4"/>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3472B3F"/>
    <w:multiLevelType w:val="multilevel"/>
    <w:tmpl w:val="735C24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63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5EB411F"/>
    <w:multiLevelType w:val="multilevel"/>
    <w:tmpl w:val="0AC0DB8A"/>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67560D26"/>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6A5C28E3"/>
    <w:multiLevelType w:val="hybridMultilevel"/>
    <w:tmpl w:val="799251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AF80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B9570EE"/>
    <w:multiLevelType w:val="multilevel"/>
    <w:tmpl w:val="3FC0FB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35710E"/>
    <w:multiLevelType w:val="hybridMultilevel"/>
    <w:tmpl w:val="EBC0A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990508B"/>
    <w:multiLevelType w:val="multilevel"/>
    <w:tmpl w:val="639600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C6A3510"/>
    <w:multiLevelType w:val="singleLevel"/>
    <w:tmpl w:val="08090011"/>
    <w:lvl w:ilvl="0">
      <w:start w:val="6"/>
      <w:numFmt w:val="decimal"/>
      <w:lvlText w:val="%1)"/>
      <w:lvlJc w:val="left"/>
      <w:pPr>
        <w:tabs>
          <w:tab w:val="num" w:pos="360"/>
        </w:tabs>
        <w:ind w:left="360" w:hanging="360"/>
      </w:pPr>
      <w:rPr>
        <w:rFonts w:hint="default"/>
      </w:rPr>
    </w:lvl>
  </w:abstractNum>
  <w:num w:numId="1">
    <w:abstractNumId w:val="16"/>
  </w:num>
  <w:num w:numId="2">
    <w:abstractNumId w:val="18"/>
  </w:num>
  <w:num w:numId="3">
    <w:abstractNumId w:val="22"/>
  </w:num>
  <w:num w:numId="4">
    <w:abstractNumId w:val="3"/>
  </w:num>
  <w:num w:numId="5">
    <w:abstractNumId w:val="8"/>
  </w:num>
  <w:num w:numId="6">
    <w:abstractNumId w:val="4"/>
  </w:num>
  <w:num w:numId="7">
    <w:abstractNumId w:val="10"/>
  </w:num>
  <w:num w:numId="8">
    <w:abstractNumId w:val="14"/>
  </w:num>
  <w:num w:numId="9">
    <w:abstractNumId w:val="6"/>
  </w:num>
  <w:num w:numId="10">
    <w:abstractNumId w:val="0"/>
  </w:num>
  <w:num w:numId="11">
    <w:abstractNumId w:val="11"/>
  </w:num>
  <w:num w:numId="12">
    <w:abstractNumId w:val="19"/>
  </w:num>
  <w:num w:numId="13">
    <w:abstractNumId w:val="13"/>
  </w:num>
  <w:num w:numId="14">
    <w:abstractNumId w:val="9"/>
  </w:num>
  <w:num w:numId="15">
    <w:abstractNumId w:val="7"/>
  </w:num>
  <w:num w:numId="16">
    <w:abstractNumId w:val="1"/>
  </w:num>
  <w:num w:numId="17">
    <w:abstractNumId w:val="15"/>
  </w:num>
  <w:num w:numId="18">
    <w:abstractNumId w:val="21"/>
  </w:num>
  <w:num w:numId="19">
    <w:abstractNumId w:val="12"/>
  </w:num>
  <w:num w:numId="20">
    <w:abstractNumId w:val="17"/>
  </w:num>
  <w:num w:numId="21">
    <w:abstractNumId w:val="20"/>
  </w:num>
  <w:num w:numId="22">
    <w:abstractNumId w:val="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1335"/>
    <w:rsid w:val="00013839"/>
    <w:rsid w:val="00017AC8"/>
    <w:rsid w:val="00024308"/>
    <w:rsid w:val="00042B90"/>
    <w:rsid w:val="0004420B"/>
    <w:rsid w:val="00057504"/>
    <w:rsid w:val="000B5015"/>
    <w:rsid w:val="0012657D"/>
    <w:rsid w:val="00197492"/>
    <w:rsid w:val="00224870"/>
    <w:rsid w:val="002248B2"/>
    <w:rsid w:val="00276E2E"/>
    <w:rsid w:val="003201D9"/>
    <w:rsid w:val="0032426C"/>
    <w:rsid w:val="003902D5"/>
    <w:rsid w:val="003A723F"/>
    <w:rsid w:val="003E0B19"/>
    <w:rsid w:val="003E2515"/>
    <w:rsid w:val="003E27CC"/>
    <w:rsid w:val="003E59EF"/>
    <w:rsid w:val="00441E44"/>
    <w:rsid w:val="004830BC"/>
    <w:rsid w:val="00486170"/>
    <w:rsid w:val="004B2A3D"/>
    <w:rsid w:val="004F3A30"/>
    <w:rsid w:val="00586149"/>
    <w:rsid w:val="005B2D07"/>
    <w:rsid w:val="005F5A32"/>
    <w:rsid w:val="00652C26"/>
    <w:rsid w:val="006727DC"/>
    <w:rsid w:val="0068635A"/>
    <w:rsid w:val="00784FE2"/>
    <w:rsid w:val="00786A7C"/>
    <w:rsid w:val="008725CC"/>
    <w:rsid w:val="0090185A"/>
    <w:rsid w:val="009372DC"/>
    <w:rsid w:val="009B6B61"/>
    <w:rsid w:val="009C7106"/>
    <w:rsid w:val="009E30C7"/>
    <w:rsid w:val="009F1CBA"/>
    <w:rsid w:val="009F41F5"/>
    <w:rsid w:val="00AA718B"/>
    <w:rsid w:val="00AB22A7"/>
    <w:rsid w:val="00AD3532"/>
    <w:rsid w:val="00B840E6"/>
    <w:rsid w:val="00BC3A2E"/>
    <w:rsid w:val="00C06DA2"/>
    <w:rsid w:val="00C45857"/>
    <w:rsid w:val="00C562BC"/>
    <w:rsid w:val="00C760E8"/>
    <w:rsid w:val="00C802DD"/>
    <w:rsid w:val="00D13E90"/>
    <w:rsid w:val="00D770E6"/>
    <w:rsid w:val="00D801B8"/>
    <w:rsid w:val="00D81335"/>
    <w:rsid w:val="00DD53AC"/>
    <w:rsid w:val="00E04EDC"/>
    <w:rsid w:val="00E10D8D"/>
    <w:rsid w:val="00ED0C7E"/>
    <w:rsid w:val="00F44583"/>
    <w:rsid w:val="00F64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7C"/>
  </w:style>
  <w:style w:type="paragraph" w:styleId="Heading1">
    <w:name w:val="heading 1"/>
    <w:basedOn w:val="Normal"/>
    <w:next w:val="Normal"/>
    <w:qFormat/>
    <w:rsid w:val="00786A7C"/>
    <w:pPr>
      <w:keepNext/>
      <w:outlineLvl w:val="0"/>
    </w:pPr>
    <w:rPr>
      <w:rFonts w:ascii="Arial" w:hAnsi="Arial"/>
      <w:b/>
      <w:sz w:val="24"/>
    </w:rPr>
  </w:style>
  <w:style w:type="paragraph" w:styleId="Heading5">
    <w:name w:val="heading 5"/>
    <w:basedOn w:val="Normal"/>
    <w:next w:val="Normal"/>
    <w:qFormat/>
    <w:rsid w:val="00786A7C"/>
    <w:pPr>
      <w:keepNext/>
      <w:spacing w:before="25" w:after="120"/>
      <w:jc w:val="center"/>
      <w:outlineLvl w:val="4"/>
    </w:pPr>
    <w:rPr>
      <w:rFonts w:ascii="Tahoma" w:hAnsi="Tahoma"/>
      <w:sz w:val="24"/>
    </w:rPr>
  </w:style>
  <w:style w:type="paragraph" w:styleId="Heading6">
    <w:name w:val="heading 6"/>
    <w:basedOn w:val="Normal"/>
    <w:next w:val="Normal"/>
    <w:qFormat/>
    <w:rsid w:val="00786A7C"/>
    <w:pPr>
      <w:keepNext/>
      <w:spacing w:before="25" w:after="120"/>
      <w:outlineLvl w:val="5"/>
    </w:pPr>
    <w:rPr>
      <w:rFonts w:ascii="Tahoma" w:hAnsi="Tahoma"/>
      <w:b/>
    </w:rPr>
  </w:style>
  <w:style w:type="paragraph" w:styleId="Heading7">
    <w:name w:val="heading 7"/>
    <w:basedOn w:val="Normal"/>
    <w:next w:val="Normal"/>
    <w:qFormat/>
    <w:rsid w:val="00786A7C"/>
    <w:pPr>
      <w:keepNext/>
      <w:spacing w:before="25" w:after="120"/>
      <w:outlineLvl w:val="6"/>
    </w:pPr>
    <w:rPr>
      <w:rFonts w:ascii="Arial" w:hAnsi="Arial"/>
      <w:b/>
      <w:sz w:val="24"/>
    </w:rPr>
  </w:style>
  <w:style w:type="paragraph" w:styleId="Heading8">
    <w:name w:val="heading 8"/>
    <w:basedOn w:val="Normal"/>
    <w:next w:val="Normal"/>
    <w:qFormat/>
    <w:rsid w:val="00786A7C"/>
    <w:pPr>
      <w:keepNext/>
      <w:spacing w:before="360" w:line="300" w:lineRule="auto"/>
      <w:outlineLvl w:val="7"/>
    </w:pPr>
    <w:rPr>
      <w:rFonts w:ascii="Tahoma" w:hAnsi="Tahoma"/>
      <w:b/>
      <w:sz w:val="18"/>
    </w:rPr>
  </w:style>
  <w:style w:type="paragraph" w:styleId="Heading9">
    <w:name w:val="heading 9"/>
    <w:basedOn w:val="Normal"/>
    <w:next w:val="Normal"/>
    <w:qFormat/>
    <w:rsid w:val="00786A7C"/>
    <w:pPr>
      <w:keepNext/>
      <w:spacing w:before="60" w:line="300" w:lineRule="auto"/>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6A7C"/>
    <w:pPr>
      <w:tabs>
        <w:tab w:val="center" w:pos="4153"/>
        <w:tab w:val="right" w:pos="8306"/>
      </w:tabs>
    </w:pPr>
  </w:style>
  <w:style w:type="paragraph" w:styleId="Footer">
    <w:name w:val="footer"/>
    <w:basedOn w:val="Normal"/>
    <w:semiHidden/>
    <w:rsid w:val="00786A7C"/>
    <w:pPr>
      <w:tabs>
        <w:tab w:val="center" w:pos="4153"/>
        <w:tab w:val="right" w:pos="8306"/>
      </w:tabs>
    </w:pPr>
  </w:style>
  <w:style w:type="paragraph" w:styleId="BodyText">
    <w:name w:val="Body Text"/>
    <w:basedOn w:val="Normal"/>
    <w:semiHidden/>
    <w:rsid w:val="00786A7C"/>
    <w:rPr>
      <w:rFonts w:ascii="Arial" w:hAnsi="Arial"/>
      <w:sz w:val="24"/>
    </w:rPr>
  </w:style>
  <w:style w:type="paragraph" w:styleId="BodyTextIndent">
    <w:name w:val="Body Text Indent"/>
    <w:basedOn w:val="Normal"/>
    <w:semiHidden/>
    <w:rsid w:val="00786A7C"/>
    <w:pPr>
      <w:tabs>
        <w:tab w:val="left" w:pos="1560"/>
        <w:tab w:val="left" w:pos="2268"/>
      </w:tabs>
      <w:ind w:left="2160" w:hanging="2160"/>
    </w:pPr>
    <w:rPr>
      <w:rFonts w:ascii="Arial" w:hAnsi="Arial"/>
      <w:sz w:val="24"/>
    </w:rPr>
  </w:style>
  <w:style w:type="paragraph" w:styleId="PlainText">
    <w:name w:val="Plain Text"/>
    <w:basedOn w:val="Normal"/>
    <w:semiHidden/>
    <w:rsid w:val="00786A7C"/>
    <w:rPr>
      <w:rFonts w:ascii="Courier New" w:hAnsi="Courier New"/>
    </w:rPr>
  </w:style>
  <w:style w:type="paragraph" w:styleId="BodyText2">
    <w:name w:val="Body Text 2"/>
    <w:basedOn w:val="Normal"/>
    <w:semiHidden/>
    <w:rsid w:val="00786A7C"/>
    <w:pPr>
      <w:spacing w:line="300" w:lineRule="auto"/>
    </w:pPr>
    <w:rPr>
      <w:rFonts w:ascii="Arial" w:hAnsi="Arial"/>
      <w:sz w:val="18"/>
    </w:rPr>
  </w:style>
  <w:style w:type="paragraph" w:styleId="BodyTextIndent2">
    <w:name w:val="Body Text Indent 2"/>
    <w:basedOn w:val="Normal"/>
    <w:semiHidden/>
    <w:rsid w:val="00786A7C"/>
    <w:pPr>
      <w:tabs>
        <w:tab w:val="left" w:pos="284"/>
      </w:tabs>
      <w:ind w:left="284" w:hanging="284"/>
    </w:pPr>
    <w:rPr>
      <w:rFonts w:ascii="Arial" w:hAnsi="Arial"/>
      <w:sz w:val="24"/>
    </w:rPr>
  </w:style>
  <w:style w:type="paragraph" w:styleId="DocumentMap">
    <w:name w:val="Document Map"/>
    <w:basedOn w:val="Normal"/>
    <w:link w:val="DocumentMapChar"/>
    <w:uiPriority w:val="99"/>
    <w:semiHidden/>
    <w:unhideWhenUsed/>
    <w:rsid w:val="003A723F"/>
    <w:rPr>
      <w:rFonts w:ascii="Tahoma" w:hAnsi="Tahoma" w:cs="Tahoma"/>
      <w:sz w:val="16"/>
      <w:szCs w:val="16"/>
    </w:rPr>
  </w:style>
  <w:style w:type="character" w:customStyle="1" w:styleId="DocumentMapChar">
    <w:name w:val="Document Map Char"/>
    <w:basedOn w:val="DefaultParagraphFont"/>
    <w:link w:val="DocumentMap"/>
    <w:uiPriority w:val="99"/>
    <w:semiHidden/>
    <w:rsid w:val="003A723F"/>
    <w:rPr>
      <w:rFonts w:ascii="Tahoma" w:hAnsi="Tahoma" w:cs="Tahoma"/>
      <w:sz w:val="16"/>
      <w:szCs w:val="16"/>
    </w:rPr>
  </w:style>
  <w:style w:type="paragraph" w:styleId="ListParagraph">
    <w:name w:val="List Paragraph"/>
    <w:basedOn w:val="Normal"/>
    <w:uiPriority w:val="34"/>
    <w:qFormat/>
    <w:rsid w:val="00F6460D"/>
    <w:pPr>
      <w:ind w:left="720"/>
    </w:pPr>
  </w:style>
  <w:style w:type="paragraph" w:styleId="NormalWeb">
    <w:name w:val="Normal (Web)"/>
    <w:basedOn w:val="Normal"/>
    <w:uiPriority w:val="99"/>
    <w:semiHidden/>
    <w:unhideWhenUsed/>
    <w:rsid w:val="00B840E6"/>
    <w:pPr>
      <w:spacing w:before="100" w:beforeAutospacing="1" w:after="100" w:afterAutospacing="1"/>
    </w:pPr>
    <w:rPr>
      <w:sz w:val="24"/>
      <w:szCs w:val="24"/>
    </w:rPr>
  </w:style>
  <w:style w:type="character" w:styleId="Hyperlink">
    <w:name w:val="Hyperlink"/>
    <w:basedOn w:val="DefaultParagraphFont"/>
    <w:uiPriority w:val="99"/>
    <w:semiHidden/>
    <w:unhideWhenUsed/>
    <w:rsid w:val="00B840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CARLISLE CITY COUNCIL</vt:lpstr>
    </vt:vector>
  </TitlesOfParts>
  <Company>Carlisle City Council,TCCE</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dc:title>
  <dc:subject/>
  <dc:creator>Jim Messenger</dc:creator>
  <cp:keywords/>
  <dc:description/>
  <cp:lastModifiedBy>RachelR</cp:lastModifiedBy>
  <cp:revision>2</cp:revision>
  <cp:lastPrinted>2010-04-19T12:35:00Z</cp:lastPrinted>
  <dcterms:created xsi:type="dcterms:W3CDTF">2010-05-25T08:02:00Z</dcterms:created>
  <dcterms:modified xsi:type="dcterms:W3CDTF">2010-05-25T08:02:00Z</dcterms:modified>
</cp:coreProperties>
</file>