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C5" w:rsidRDefault="000D0DC5">
      <w:pPr>
        <w:pStyle w:val="Header"/>
        <w:tabs>
          <w:tab w:val="clear" w:pos="4153"/>
          <w:tab w:val="clear" w:pos="8306"/>
        </w:tabs>
        <w:spacing w:line="300" w:lineRule="auto"/>
        <w:rPr>
          <w:rFonts w:ascii="Tahoma" w:hAnsi="Tahoma"/>
          <w:b/>
          <w:caps/>
          <w:sz w:val="36"/>
        </w:rPr>
      </w:pPr>
      <w:r>
        <w:rPr>
          <w:rFonts w:ascii="Tahoma" w:hAnsi="Tahoma"/>
          <w:b/>
          <w:caps/>
          <w:sz w:val="36"/>
        </w:rPr>
        <w:t>Carlisle City Council</w:t>
      </w:r>
    </w:p>
    <w:tbl>
      <w:tblPr>
        <w:tblW w:w="0" w:type="auto"/>
        <w:tblLayout w:type="fixed"/>
        <w:tblLook w:val="0000"/>
      </w:tblPr>
      <w:tblGrid>
        <w:gridCol w:w="2463"/>
        <w:gridCol w:w="622"/>
        <w:gridCol w:w="3686"/>
        <w:gridCol w:w="850"/>
        <w:gridCol w:w="1701"/>
        <w:gridCol w:w="142"/>
        <w:gridCol w:w="142"/>
        <w:gridCol w:w="246"/>
        <w:gridCol w:w="37"/>
      </w:tblGrid>
      <w:tr w:rsidR="000D0DC5">
        <w:trPr>
          <w:gridAfter w:val="1"/>
          <w:wAfter w:w="37" w:type="dxa"/>
        </w:trPr>
        <w:tc>
          <w:tcPr>
            <w:tcW w:w="2463" w:type="dxa"/>
          </w:tcPr>
          <w:p w:rsidR="000D0DC5" w:rsidRDefault="000D0DC5">
            <w:pPr>
              <w:pStyle w:val="Header"/>
              <w:tabs>
                <w:tab w:val="clear" w:pos="4153"/>
                <w:tab w:val="clear" w:pos="8306"/>
              </w:tabs>
              <w:spacing w:before="240" w:line="300" w:lineRule="auto"/>
              <w:rPr>
                <w:rFonts w:ascii="Tahoma" w:hAnsi="Tahoma"/>
                <w:b/>
                <w:sz w:val="18"/>
              </w:rPr>
            </w:pPr>
            <w:r>
              <w:rPr>
                <w:rFonts w:ascii="Tahoma" w:hAnsi="Tahoma"/>
                <w:b/>
                <w:sz w:val="18"/>
              </w:rPr>
              <w:t>Report to:-</w:t>
            </w:r>
          </w:p>
        </w:tc>
        <w:tc>
          <w:tcPr>
            <w:tcW w:w="6859" w:type="dxa"/>
            <w:gridSpan w:val="4"/>
          </w:tcPr>
          <w:p w:rsidR="000D0DC5" w:rsidRDefault="000D0DC5">
            <w:pPr>
              <w:pStyle w:val="Header"/>
              <w:tabs>
                <w:tab w:val="clear" w:pos="4153"/>
                <w:tab w:val="clear" w:pos="8306"/>
              </w:tabs>
              <w:spacing w:line="300" w:lineRule="auto"/>
              <w:rPr>
                <w:rFonts w:ascii="Tahoma" w:hAnsi="Tahoma"/>
                <w:b/>
                <w:sz w:val="12"/>
              </w:rPr>
            </w:pPr>
          </w:p>
          <w:p w:rsidR="000D0DC5" w:rsidRDefault="003D4277">
            <w:pPr>
              <w:pStyle w:val="Header"/>
              <w:tabs>
                <w:tab w:val="clear" w:pos="4153"/>
                <w:tab w:val="clear" w:pos="8306"/>
              </w:tabs>
              <w:spacing w:line="300" w:lineRule="auto"/>
              <w:rPr>
                <w:rFonts w:ascii="Tahoma" w:hAnsi="Tahoma"/>
                <w:b/>
                <w:sz w:val="22"/>
              </w:rPr>
            </w:pPr>
            <w:r>
              <w:rPr>
                <w:rFonts w:ascii="Tahoma" w:hAnsi="Tahoma"/>
                <w:b/>
                <w:sz w:val="22"/>
              </w:rPr>
              <w:t>REGULATORY PANEL</w:t>
            </w:r>
          </w:p>
        </w:tc>
        <w:tc>
          <w:tcPr>
            <w:tcW w:w="284" w:type="dxa"/>
            <w:gridSpan w:val="2"/>
          </w:tcPr>
          <w:p w:rsidR="000D0DC5" w:rsidRDefault="000D0DC5">
            <w:pPr>
              <w:pStyle w:val="Header"/>
              <w:tabs>
                <w:tab w:val="clear" w:pos="4153"/>
                <w:tab w:val="clear" w:pos="8306"/>
              </w:tabs>
              <w:spacing w:before="240" w:line="300" w:lineRule="auto"/>
              <w:rPr>
                <w:rFonts w:ascii="Tahoma" w:hAnsi="Tahoma"/>
                <w:b/>
                <w:sz w:val="18"/>
              </w:rPr>
            </w:pPr>
          </w:p>
        </w:tc>
        <w:tc>
          <w:tcPr>
            <w:tcW w:w="246" w:type="dxa"/>
          </w:tcPr>
          <w:p w:rsidR="000D0DC5" w:rsidRDefault="000D0DC5">
            <w:pPr>
              <w:pStyle w:val="Header"/>
              <w:tabs>
                <w:tab w:val="clear" w:pos="4153"/>
                <w:tab w:val="clear" w:pos="8306"/>
              </w:tabs>
              <w:spacing w:before="240" w:line="300" w:lineRule="auto"/>
              <w:rPr>
                <w:rFonts w:ascii="Tahoma" w:hAnsi="Tahoma"/>
                <w:b/>
                <w:sz w:val="18"/>
              </w:rPr>
            </w:pPr>
          </w:p>
        </w:tc>
      </w:tr>
      <w:tr w:rsidR="000D0DC5">
        <w:trPr>
          <w:gridAfter w:val="1"/>
          <w:wAfter w:w="37" w:type="dxa"/>
        </w:trPr>
        <w:tc>
          <w:tcPr>
            <w:tcW w:w="2463" w:type="dxa"/>
          </w:tcPr>
          <w:p w:rsidR="000D0DC5" w:rsidRDefault="000D0DC5">
            <w:pPr>
              <w:pStyle w:val="Header"/>
              <w:tabs>
                <w:tab w:val="clear" w:pos="4153"/>
                <w:tab w:val="clear" w:pos="8306"/>
              </w:tabs>
              <w:spacing w:before="80" w:after="240" w:line="300" w:lineRule="auto"/>
              <w:rPr>
                <w:rFonts w:ascii="Tahoma" w:hAnsi="Tahoma"/>
                <w:b/>
                <w:sz w:val="18"/>
              </w:rPr>
            </w:pPr>
            <w:r>
              <w:rPr>
                <w:rFonts w:ascii="Tahoma" w:hAnsi="Tahoma"/>
                <w:b/>
                <w:sz w:val="18"/>
              </w:rPr>
              <w:t>Date of Meeting:-</w:t>
            </w:r>
          </w:p>
        </w:tc>
        <w:tc>
          <w:tcPr>
            <w:tcW w:w="5158" w:type="dxa"/>
            <w:gridSpan w:val="3"/>
          </w:tcPr>
          <w:p w:rsidR="000D0DC5" w:rsidRDefault="000D0DC5">
            <w:pPr>
              <w:pStyle w:val="Header"/>
              <w:tabs>
                <w:tab w:val="clear" w:pos="4153"/>
                <w:tab w:val="clear" w:pos="8306"/>
              </w:tabs>
              <w:spacing w:line="300" w:lineRule="auto"/>
              <w:rPr>
                <w:rFonts w:ascii="Arial" w:hAnsi="Arial"/>
                <w:sz w:val="4"/>
              </w:rPr>
            </w:pPr>
          </w:p>
          <w:p w:rsidR="000D0DC5" w:rsidRDefault="000D0DC5">
            <w:pPr>
              <w:pStyle w:val="Header"/>
              <w:tabs>
                <w:tab w:val="clear" w:pos="4153"/>
                <w:tab w:val="clear" w:pos="8306"/>
              </w:tabs>
              <w:spacing w:line="300" w:lineRule="auto"/>
              <w:rPr>
                <w:rFonts w:ascii="Arial" w:hAnsi="Arial"/>
                <w:sz w:val="24"/>
              </w:rPr>
            </w:pPr>
            <w:r>
              <w:rPr>
                <w:rFonts w:ascii="Arial" w:hAnsi="Arial"/>
                <w:sz w:val="24"/>
              </w:rPr>
              <w:t>13</w:t>
            </w:r>
            <w:r w:rsidRPr="000D0DC5">
              <w:rPr>
                <w:rFonts w:ascii="Arial" w:hAnsi="Arial"/>
                <w:sz w:val="24"/>
                <w:vertAlign w:val="superscript"/>
              </w:rPr>
              <w:t>th</w:t>
            </w:r>
            <w:r>
              <w:rPr>
                <w:rFonts w:ascii="Arial" w:hAnsi="Arial"/>
                <w:sz w:val="24"/>
              </w:rPr>
              <w:t xml:space="preserve"> October 2010</w:t>
            </w:r>
          </w:p>
          <w:p w:rsidR="000D0DC5" w:rsidRDefault="000D0DC5">
            <w:pPr>
              <w:pStyle w:val="Header"/>
              <w:tabs>
                <w:tab w:val="clear" w:pos="4153"/>
                <w:tab w:val="clear" w:pos="8306"/>
              </w:tabs>
              <w:spacing w:line="300" w:lineRule="auto"/>
              <w:rPr>
                <w:rFonts w:ascii="Arial" w:hAnsi="Arial"/>
                <w:sz w:val="16"/>
              </w:rPr>
            </w:pPr>
          </w:p>
        </w:tc>
        <w:tc>
          <w:tcPr>
            <w:tcW w:w="1843" w:type="dxa"/>
            <w:gridSpan w:val="2"/>
          </w:tcPr>
          <w:p w:rsidR="000D0DC5" w:rsidRDefault="000D0DC5">
            <w:pPr>
              <w:pStyle w:val="Header"/>
              <w:tabs>
                <w:tab w:val="clear" w:pos="4153"/>
                <w:tab w:val="clear" w:pos="8306"/>
              </w:tabs>
              <w:spacing w:before="80" w:after="240" w:line="300" w:lineRule="auto"/>
              <w:rPr>
                <w:rFonts w:ascii="Tahoma" w:hAnsi="Tahoma"/>
                <w:b/>
                <w:sz w:val="18"/>
              </w:rPr>
            </w:pPr>
            <w:r>
              <w:rPr>
                <w:rFonts w:ascii="Tahoma" w:hAnsi="Tahoma"/>
                <w:b/>
                <w:sz w:val="18"/>
              </w:rPr>
              <w:t xml:space="preserve">Agenda Item No:- </w:t>
            </w:r>
          </w:p>
        </w:tc>
        <w:tc>
          <w:tcPr>
            <w:tcW w:w="388" w:type="dxa"/>
            <w:gridSpan w:val="2"/>
          </w:tcPr>
          <w:p w:rsidR="000D0DC5" w:rsidRDefault="000D0DC5">
            <w:pPr>
              <w:pStyle w:val="Header"/>
              <w:tabs>
                <w:tab w:val="clear" w:pos="4153"/>
                <w:tab w:val="clear" w:pos="8306"/>
              </w:tabs>
              <w:spacing w:before="80" w:after="240" w:line="300" w:lineRule="auto"/>
              <w:rPr>
                <w:rFonts w:ascii="Tahoma" w:hAnsi="Tahoma"/>
                <w:b/>
                <w:sz w:val="18"/>
              </w:rPr>
            </w:pPr>
          </w:p>
        </w:tc>
      </w:tr>
      <w:tr w:rsidR="000D0DC5">
        <w:tc>
          <w:tcPr>
            <w:tcW w:w="3085" w:type="dxa"/>
            <w:gridSpan w:val="2"/>
            <w:tcBorders>
              <w:top w:val="single" w:sz="4" w:space="0" w:color="auto"/>
            </w:tcBorders>
          </w:tcPr>
          <w:p w:rsidR="000D0DC5" w:rsidRDefault="000D0DC5">
            <w:pPr>
              <w:pStyle w:val="Header"/>
              <w:tabs>
                <w:tab w:val="clear" w:pos="4153"/>
                <w:tab w:val="clear" w:pos="8306"/>
              </w:tabs>
              <w:spacing w:before="60" w:line="300" w:lineRule="auto"/>
              <w:jc w:val="center"/>
              <w:rPr>
                <w:rFonts w:ascii="Tahoma" w:hAnsi="Tahoma"/>
                <w:b/>
                <w:sz w:val="18"/>
              </w:rPr>
            </w:pPr>
            <w:r>
              <w:rPr>
                <w:rFonts w:ascii="Tahoma" w:hAnsi="Tahoma"/>
                <w:b/>
              </w:rPr>
              <w:t xml:space="preserve">Public </w:t>
            </w:r>
          </w:p>
        </w:tc>
        <w:tc>
          <w:tcPr>
            <w:tcW w:w="3686" w:type="dxa"/>
            <w:tcBorders>
              <w:top w:val="single" w:sz="4" w:space="0" w:color="auto"/>
            </w:tcBorders>
          </w:tcPr>
          <w:p w:rsidR="000D0DC5" w:rsidRDefault="000D0DC5">
            <w:pPr>
              <w:pStyle w:val="Heading9"/>
            </w:pPr>
            <w:r>
              <w:t>Operational</w:t>
            </w:r>
          </w:p>
        </w:tc>
        <w:tc>
          <w:tcPr>
            <w:tcW w:w="3118" w:type="dxa"/>
            <w:gridSpan w:val="6"/>
            <w:tcBorders>
              <w:top w:val="single" w:sz="4" w:space="0" w:color="auto"/>
            </w:tcBorders>
          </w:tcPr>
          <w:p w:rsidR="000D0DC5" w:rsidRDefault="000D0DC5">
            <w:pPr>
              <w:pStyle w:val="Heading5"/>
              <w:spacing w:before="60" w:after="0" w:line="300" w:lineRule="auto"/>
              <w:rPr>
                <w:b/>
                <w:sz w:val="20"/>
              </w:rPr>
            </w:pPr>
            <w:r>
              <w:rPr>
                <w:b/>
                <w:sz w:val="20"/>
              </w:rPr>
              <w:t>Delegated Yes</w:t>
            </w:r>
          </w:p>
        </w:tc>
      </w:tr>
    </w:tbl>
    <w:p w:rsidR="000D0DC5" w:rsidRDefault="000D0DC5">
      <w:pPr>
        <w:pStyle w:val="Header"/>
        <w:tabs>
          <w:tab w:val="clear" w:pos="4153"/>
          <w:tab w:val="clear" w:pos="8306"/>
        </w:tabs>
        <w:spacing w:line="300" w:lineRule="auto"/>
        <w:rPr>
          <w:rFonts w:ascii="Tahoma" w:hAnsi="Tahoma"/>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686"/>
        <w:gridCol w:w="1559"/>
        <w:gridCol w:w="1559"/>
      </w:tblGrid>
      <w:tr w:rsidR="000D0DC5" w:rsidTr="00FB0284">
        <w:tc>
          <w:tcPr>
            <w:tcW w:w="6771" w:type="dxa"/>
            <w:gridSpan w:val="2"/>
            <w:tcBorders>
              <w:left w:val="nil"/>
              <w:bottom w:val="nil"/>
              <w:right w:val="nil"/>
            </w:tcBorders>
          </w:tcPr>
          <w:p w:rsidR="000D0DC5" w:rsidRDefault="000D0DC5">
            <w:pPr>
              <w:pStyle w:val="Heading6"/>
              <w:spacing w:before="60" w:after="40" w:line="300" w:lineRule="auto"/>
            </w:pPr>
            <w:r>
              <w:t>Accompanying Comments and Statements</w:t>
            </w:r>
          </w:p>
        </w:tc>
        <w:tc>
          <w:tcPr>
            <w:tcW w:w="1559" w:type="dxa"/>
            <w:tcBorders>
              <w:left w:val="nil"/>
              <w:bottom w:val="nil"/>
              <w:right w:val="nil"/>
            </w:tcBorders>
          </w:tcPr>
          <w:p w:rsidR="000D0DC5" w:rsidRDefault="000D0DC5">
            <w:pPr>
              <w:spacing w:before="60" w:after="40" w:line="300" w:lineRule="auto"/>
              <w:jc w:val="center"/>
              <w:rPr>
                <w:rFonts w:ascii="Tahoma" w:hAnsi="Tahoma"/>
                <w:b/>
              </w:rPr>
            </w:pPr>
            <w:r>
              <w:rPr>
                <w:rFonts w:ascii="Tahoma" w:hAnsi="Tahoma"/>
                <w:b/>
              </w:rPr>
              <w:t>Required</w:t>
            </w:r>
          </w:p>
        </w:tc>
        <w:tc>
          <w:tcPr>
            <w:tcW w:w="1559" w:type="dxa"/>
            <w:tcBorders>
              <w:left w:val="nil"/>
              <w:bottom w:val="nil"/>
              <w:right w:val="nil"/>
            </w:tcBorders>
          </w:tcPr>
          <w:p w:rsidR="000D0DC5" w:rsidRDefault="000D0DC5">
            <w:pPr>
              <w:spacing w:before="60" w:after="40" w:line="300" w:lineRule="auto"/>
              <w:jc w:val="center"/>
              <w:rPr>
                <w:rFonts w:ascii="Tahoma" w:hAnsi="Tahoma"/>
                <w:b/>
              </w:rPr>
            </w:pPr>
            <w:r>
              <w:rPr>
                <w:rFonts w:ascii="Tahoma" w:hAnsi="Tahoma"/>
                <w:b/>
              </w:rPr>
              <w:t>Included</w:t>
            </w:r>
          </w:p>
        </w:tc>
      </w:tr>
      <w:tr w:rsidR="000D0DC5" w:rsidTr="00FB0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vAlign w:val="center"/>
          </w:tcPr>
          <w:p w:rsidR="000D0DC5" w:rsidRDefault="000D0DC5" w:rsidP="007A3C39">
            <w:pPr>
              <w:pStyle w:val="Heading8"/>
            </w:pPr>
            <w:r>
              <w:t>Title:-</w:t>
            </w:r>
          </w:p>
        </w:tc>
        <w:tc>
          <w:tcPr>
            <w:tcW w:w="6804" w:type="dxa"/>
            <w:gridSpan w:val="3"/>
            <w:vAlign w:val="center"/>
          </w:tcPr>
          <w:p w:rsidR="00ED0669" w:rsidRDefault="00ED0669" w:rsidP="007A3C39">
            <w:pPr>
              <w:spacing w:line="300" w:lineRule="auto"/>
              <w:rPr>
                <w:rFonts w:ascii="Tahoma" w:hAnsi="Tahoma"/>
                <w:b/>
                <w:caps/>
                <w:sz w:val="24"/>
              </w:rPr>
            </w:pPr>
          </w:p>
          <w:p w:rsidR="000D0DC5" w:rsidRDefault="000D0DC5" w:rsidP="007A3C39">
            <w:pPr>
              <w:spacing w:line="300" w:lineRule="auto"/>
              <w:rPr>
                <w:rFonts w:ascii="Tahoma" w:hAnsi="Tahoma"/>
                <w:b/>
                <w:caps/>
                <w:sz w:val="24"/>
              </w:rPr>
            </w:pPr>
            <w:r>
              <w:rPr>
                <w:rFonts w:ascii="Tahoma" w:hAnsi="Tahoma"/>
                <w:b/>
                <w:caps/>
                <w:sz w:val="24"/>
              </w:rPr>
              <w:t>LICENSING OF SEXUAL ENTERTAINMENT VENUES</w:t>
            </w:r>
          </w:p>
          <w:p w:rsidR="000D0DC5" w:rsidRDefault="000D0DC5" w:rsidP="007A3C39">
            <w:pPr>
              <w:spacing w:line="300" w:lineRule="auto"/>
              <w:rPr>
                <w:rFonts w:ascii="Tahoma" w:hAnsi="Tahoma"/>
                <w:b/>
                <w:sz w:val="6"/>
              </w:rPr>
            </w:pPr>
          </w:p>
        </w:tc>
      </w:tr>
      <w:tr w:rsidR="000D0DC5" w:rsidTr="00FB0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vAlign w:val="center"/>
          </w:tcPr>
          <w:p w:rsidR="000D0DC5" w:rsidRDefault="000D0DC5" w:rsidP="007A3C39">
            <w:pPr>
              <w:pStyle w:val="Heading8"/>
              <w:spacing w:before="80"/>
            </w:pPr>
            <w:r>
              <w:t>Report of:-</w:t>
            </w:r>
          </w:p>
        </w:tc>
        <w:tc>
          <w:tcPr>
            <w:tcW w:w="6804" w:type="dxa"/>
            <w:gridSpan w:val="3"/>
            <w:vAlign w:val="center"/>
          </w:tcPr>
          <w:p w:rsidR="000D0DC5" w:rsidRDefault="000D0DC5" w:rsidP="007A3C39">
            <w:pPr>
              <w:spacing w:line="300" w:lineRule="auto"/>
              <w:rPr>
                <w:rFonts w:ascii="Arial" w:hAnsi="Arial"/>
                <w:b/>
                <w:sz w:val="24"/>
              </w:rPr>
            </w:pPr>
            <w:r>
              <w:rPr>
                <w:rFonts w:ascii="Arial" w:hAnsi="Arial"/>
                <w:b/>
                <w:sz w:val="24"/>
              </w:rPr>
              <w:t>ASSISTANT DIRECTOR - GOVERNANCE</w:t>
            </w:r>
          </w:p>
          <w:p w:rsidR="000D0DC5" w:rsidRDefault="000D0DC5" w:rsidP="007A3C39">
            <w:pPr>
              <w:spacing w:line="300" w:lineRule="auto"/>
              <w:rPr>
                <w:rFonts w:ascii="Arial" w:hAnsi="Arial"/>
                <w:b/>
                <w:sz w:val="6"/>
              </w:rPr>
            </w:pPr>
          </w:p>
        </w:tc>
      </w:tr>
      <w:tr w:rsidR="000D0DC5" w:rsidTr="00FB0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bottom w:val="single" w:sz="4" w:space="0" w:color="auto"/>
            </w:tcBorders>
            <w:vAlign w:val="center"/>
          </w:tcPr>
          <w:p w:rsidR="000D0DC5" w:rsidRDefault="000D0DC5" w:rsidP="007A3C39">
            <w:pPr>
              <w:pStyle w:val="Heading8"/>
              <w:spacing w:before="80" w:after="60"/>
            </w:pPr>
            <w:r>
              <w:t>Report reference:-</w:t>
            </w:r>
          </w:p>
        </w:tc>
        <w:tc>
          <w:tcPr>
            <w:tcW w:w="6804" w:type="dxa"/>
            <w:gridSpan w:val="3"/>
            <w:tcBorders>
              <w:bottom w:val="single" w:sz="4" w:space="0" w:color="auto"/>
            </w:tcBorders>
            <w:vAlign w:val="center"/>
          </w:tcPr>
          <w:p w:rsidR="000D0DC5" w:rsidRDefault="00770A6E" w:rsidP="007A3C39">
            <w:pPr>
              <w:spacing w:line="300" w:lineRule="auto"/>
              <w:rPr>
                <w:rFonts w:ascii="Arial" w:hAnsi="Arial"/>
                <w:b/>
                <w:sz w:val="24"/>
              </w:rPr>
            </w:pPr>
            <w:r>
              <w:rPr>
                <w:rFonts w:ascii="Arial" w:hAnsi="Arial"/>
                <w:b/>
                <w:sz w:val="24"/>
              </w:rPr>
              <w:t>GD 47</w:t>
            </w:r>
            <w:r w:rsidR="000D0DC5">
              <w:rPr>
                <w:rFonts w:ascii="Arial" w:hAnsi="Arial"/>
                <w:b/>
                <w:sz w:val="24"/>
              </w:rPr>
              <w:t>/10</w:t>
            </w:r>
          </w:p>
          <w:p w:rsidR="000D0DC5" w:rsidRDefault="000D0DC5" w:rsidP="007A3C39">
            <w:pPr>
              <w:spacing w:line="300" w:lineRule="auto"/>
              <w:rPr>
                <w:rFonts w:ascii="Arial" w:hAnsi="Arial"/>
                <w:b/>
                <w:sz w:val="4"/>
              </w:rPr>
            </w:pPr>
          </w:p>
        </w:tc>
      </w:tr>
    </w:tbl>
    <w:p w:rsidR="000D0DC5" w:rsidRDefault="000D0DC5">
      <w:pPr>
        <w:pStyle w:val="Heading7"/>
        <w:spacing w:before="240" w:after="0" w:line="300" w:lineRule="auto"/>
        <w:rPr>
          <w:rFonts w:ascii="Tahoma" w:hAnsi="Tahoma"/>
        </w:rPr>
      </w:pPr>
      <w:r>
        <w:rPr>
          <w:rFonts w:ascii="Tahoma" w:hAnsi="Tahoma"/>
        </w:rPr>
        <w:t xml:space="preserve">Summary:-  </w:t>
      </w:r>
    </w:p>
    <w:p w:rsidR="000D0DC5" w:rsidRDefault="000D0DC5"/>
    <w:p w:rsidR="000D0DC5" w:rsidRDefault="002C6378">
      <w:pPr>
        <w:spacing w:line="300" w:lineRule="auto"/>
        <w:rPr>
          <w:rFonts w:ascii="Arial" w:hAnsi="Arial"/>
          <w:sz w:val="24"/>
        </w:rPr>
      </w:pPr>
      <w:bookmarkStart w:id="0" w:name="StartOfText"/>
      <w:bookmarkEnd w:id="0"/>
      <w:r>
        <w:rPr>
          <w:rFonts w:ascii="Arial" w:hAnsi="Arial"/>
          <w:sz w:val="24"/>
        </w:rPr>
        <w:t xml:space="preserve">Section 27 of </w:t>
      </w:r>
      <w:r w:rsidR="000D0DC5">
        <w:rPr>
          <w:rFonts w:ascii="Arial" w:hAnsi="Arial"/>
          <w:sz w:val="24"/>
        </w:rPr>
        <w:t>The Policing and Crime Act 2009 introduced a new category of sex establishment cal</w:t>
      </w:r>
      <w:r w:rsidR="00CF2C76">
        <w:rPr>
          <w:rFonts w:ascii="Arial" w:hAnsi="Arial"/>
          <w:sz w:val="24"/>
        </w:rPr>
        <w:t>led ‘Sexual Entertainment Venue</w:t>
      </w:r>
      <w:r w:rsidR="000D0DC5">
        <w:rPr>
          <w:rFonts w:ascii="Arial" w:hAnsi="Arial"/>
          <w:sz w:val="24"/>
        </w:rPr>
        <w:t xml:space="preserve">’, which </w:t>
      </w:r>
      <w:r w:rsidR="007A3C39">
        <w:rPr>
          <w:rFonts w:ascii="Arial" w:hAnsi="Arial"/>
          <w:sz w:val="24"/>
        </w:rPr>
        <w:t>amends Schedule 3 of the Local Government (Miscellaneous Provisions) Act 1982</w:t>
      </w:r>
      <w:r w:rsidR="005C2354">
        <w:rPr>
          <w:rFonts w:ascii="Arial" w:hAnsi="Arial"/>
          <w:sz w:val="24"/>
        </w:rPr>
        <w:t>,</w:t>
      </w:r>
      <w:r w:rsidR="007A3C39">
        <w:rPr>
          <w:rFonts w:ascii="Arial" w:hAnsi="Arial"/>
          <w:sz w:val="24"/>
        </w:rPr>
        <w:t xml:space="preserve"> to </w:t>
      </w:r>
      <w:r w:rsidR="000D0DC5">
        <w:rPr>
          <w:rFonts w:ascii="Arial" w:hAnsi="Arial"/>
          <w:sz w:val="24"/>
        </w:rPr>
        <w:t>allow local authorities to regulate lap da</w:t>
      </w:r>
      <w:r w:rsidR="007A3C39">
        <w:rPr>
          <w:rFonts w:ascii="Arial" w:hAnsi="Arial"/>
          <w:sz w:val="24"/>
        </w:rPr>
        <w:t>ncing and similar entertainment.</w:t>
      </w:r>
    </w:p>
    <w:p w:rsidR="000D0DC5" w:rsidRPr="00CF2C76" w:rsidRDefault="000D0DC5">
      <w:pPr>
        <w:spacing w:line="300" w:lineRule="auto"/>
        <w:rPr>
          <w:rFonts w:ascii="Arial" w:hAnsi="Arial"/>
          <w:sz w:val="16"/>
          <w:szCs w:val="16"/>
        </w:rPr>
      </w:pPr>
    </w:p>
    <w:p w:rsidR="000D0DC5" w:rsidRDefault="000D0DC5">
      <w:pPr>
        <w:spacing w:line="300" w:lineRule="auto"/>
        <w:rPr>
          <w:rFonts w:ascii="Arial" w:hAnsi="Arial"/>
          <w:sz w:val="24"/>
        </w:rPr>
      </w:pPr>
      <w:r>
        <w:rPr>
          <w:rFonts w:ascii="Arial" w:hAnsi="Arial"/>
          <w:sz w:val="24"/>
        </w:rPr>
        <w:t>This provision came into force on 6 April 2010 and local authorities may now resolv</w:t>
      </w:r>
      <w:r w:rsidR="002C6378">
        <w:rPr>
          <w:rFonts w:ascii="Arial" w:hAnsi="Arial"/>
          <w:sz w:val="24"/>
        </w:rPr>
        <w:t>e to adopt the new legislation so that it has effect in their area.  Carlisle City Council has already adopted Schedule 3 of the 1982 Act for the licensing of sex shops and sex cinemas, a further resolution is necessary before the provisions of Section 27 will have effect.</w:t>
      </w:r>
    </w:p>
    <w:p w:rsidR="000D0DC5" w:rsidRDefault="000D0DC5">
      <w:pPr>
        <w:spacing w:line="300" w:lineRule="auto"/>
        <w:rPr>
          <w:rFonts w:ascii="Arial" w:hAnsi="Arial"/>
          <w:sz w:val="16"/>
        </w:rPr>
      </w:pPr>
    </w:p>
    <w:p w:rsidR="003D4277" w:rsidRDefault="003D4277">
      <w:pPr>
        <w:spacing w:line="300" w:lineRule="auto"/>
        <w:rPr>
          <w:rFonts w:ascii="Arial" w:hAnsi="Arial"/>
          <w:sz w:val="16"/>
        </w:rPr>
      </w:pPr>
    </w:p>
    <w:p w:rsidR="000D0DC5" w:rsidRDefault="000D0DC5">
      <w:pPr>
        <w:pStyle w:val="Heading7"/>
        <w:spacing w:before="0" w:after="0" w:line="300" w:lineRule="auto"/>
        <w:rPr>
          <w:rFonts w:ascii="Tahoma" w:hAnsi="Tahoma"/>
        </w:rPr>
      </w:pPr>
      <w:r>
        <w:rPr>
          <w:rFonts w:ascii="Tahoma" w:hAnsi="Tahoma"/>
        </w:rPr>
        <w:t>Recommendation:-</w:t>
      </w:r>
    </w:p>
    <w:p w:rsidR="000D0DC5" w:rsidRDefault="000D0DC5">
      <w:pPr>
        <w:rPr>
          <w:rFonts w:ascii="Arial" w:hAnsi="Arial"/>
          <w:sz w:val="16"/>
        </w:rPr>
      </w:pPr>
    </w:p>
    <w:p w:rsidR="00FB0284" w:rsidRDefault="003D4277" w:rsidP="003D4277">
      <w:pPr>
        <w:numPr>
          <w:ilvl w:val="0"/>
          <w:numId w:val="21"/>
        </w:numPr>
        <w:spacing w:line="300" w:lineRule="auto"/>
        <w:ind w:left="426" w:hanging="426"/>
        <w:rPr>
          <w:rFonts w:ascii="Arial" w:hAnsi="Arial"/>
          <w:sz w:val="24"/>
        </w:rPr>
      </w:pPr>
      <w:r>
        <w:rPr>
          <w:rFonts w:ascii="Arial" w:hAnsi="Arial"/>
          <w:sz w:val="24"/>
        </w:rPr>
        <w:t>To adopt the provisions in Schedule3 of the Local Government (Miscellaneous Provisions) Act 1982 as amended by section 27 Policing and Crime Act 2009 in relation to the administrative area of Carlisle.</w:t>
      </w:r>
    </w:p>
    <w:p w:rsidR="003D4277" w:rsidRDefault="003D4277" w:rsidP="003D4277">
      <w:pPr>
        <w:numPr>
          <w:ilvl w:val="0"/>
          <w:numId w:val="21"/>
        </w:numPr>
        <w:spacing w:line="300" w:lineRule="auto"/>
        <w:ind w:left="426" w:hanging="426"/>
        <w:rPr>
          <w:rFonts w:ascii="Arial" w:hAnsi="Arial"/>
          <w:sz w:val="24"/>
        </w:rPr>
      </w:pPr>
      <w:r>
        <w:rPr>
          <w:rFonts w:ascii="Arial" w:hAnsi="Arial"/>
          <w:sz w:val="24"/>
        </w:rPr>
        <w:t xml:space="preserve">To refer the above to the City Council for </w:t>
      </w:r>
      <w:r w:rsidR="005C2354">
        <w:rPr>
          <w:rFonts w:ascii="Arial" w:hAnsi="Arial"/>
          <w:sz w:val="24"/>
        </w:rPr>
        <w:t>adoption</w:t>
      </w:r>
      <w:r>
        <w:rPr>
          <w:rFonts w:ascii="Arial" w:hAnsi="Arial"/>
          <w:sz w:val="24"/>
        </w:rPr>
        <w:t>.</w:t>
      </w:r>
    </w:p>
    <w:p w:rsidR="003D4277" w:rsidRDefault="003D4277" w:rsidP="003D4277">
      <w:pPr>
        <w:numPr>
          <w:ilvl w:val="0"/>
          <w:numId w:val="21"/>
        </w:numPr>
        <w:spacing w:line="300" w:lineRule="auto"/>
        <w:ind w:left="426" w:hanging="426"/>
        <w:rPr>
          <w:rFonts w:ascii="Arial" w:hAnsi="Arial"/>
          <w:sz w:val="24"/>
        </w:rPr>
      </w:pPr>
      <w:r>
        <w:rPr>
          <w:rFonts w:ascii="Arial" w:hAnsi="Arial"/>
          <w:sz w:val="24"/>
        </w:rPr>
        <w:t>To recommend that the City Council makes the appropriate amendment to the Scheme of Delegation within the Constitution.</w:t>
      </w:r>
    </w:p>
    <w:p w:rsidR="00CF2C76" w:rsidRPr="00CF2C76" w:rsidRDefault="00CF2C76" w:rsidP="00CF2C76">
      <w:pPr>
        <w:spacing w:line="300" w:lineRule="auto"/>
        <w:rPr>
          <w:rFonts w:ascii="Arial" w:hAnsi="Arial"/>
          <w:sz w:val="24"/>
        </w:rPr>
      </w:pPr>
    </w:p>
    <w:p w:rsidR="005C2354" w:rsidRDefault="000D0DC5">
      <w:pPr>
        <w:spacing w:line="300" w:lineRule="auto"/>
        <w:ind w:left="720" w:hanging="720"/>
        <w:rPr>
          <w:rFonts w:ascii="Arial" w:hAnsi="Arial"/>
          <w:sz w:val="24"/>
        </w:rPr>
      </w:pPr>
      <w:r>
        <w:rPr>
          <w:rFonts w:ascii="Arial" w:hAnsi="Arial"/>
          <w:sz w:val="24"/>
        </w:rPr>
        <w:t>J A M</w:t>
      </w:r>
      <w:r w:rsidR="005C2354">
        <w:rPr>
          <w:rFonts w:ascii="Arial" w:hAnsi="Arial"/>
          <w:sz w:val="24"/>
        </w:rPr>
        <w:t>essenger</w:t>
      </w:r>
    </w:p>
    <w:p w:rsidR="000D0DC5" w:rsidRDefault="00ED0669">
      <w:pPr>
        <w:spacing w:line="300" w:lineRule="auto"/>
        <w:ind w:left="720" w:hanging="720"/>
        <w:rPr>
          <w:rFonts w:ascii="Arial" w:hAnsi="Arial"/>
          <w:sz w:val="24"/>
        </w:rPr>
      </w:pPr>
      <w:r>
        <w:rPr>
          <w:rFonts w:ascii="Arial" w:hAnsi="Arial"/>
          <w:sz w:val="24"/>
        </w:rPr>
        <w:t>Licensing Manager</w:t>
      </w:r>
    </w:p>
    <w:p w:rsidR="003D4277" w:rsidRDefault="003D4277">
      <w:pPr>
        <w:spacing w:line="300" w:lineRule="auto"/>
        <w:ind w:left="720" w:hanging="720"/>
        <w:rPr>
          <w:rFonts w:ascii="Arial" w:hAnsi="Arial"/>
          <w:sz w:val="24"/>
        </w:rPr>
      </w:pPr>
    </w:p>
    <w:p w:rsidR="00ED0669" w:rsidRDefault="00ED0669">
      <w:pPr>
        <w:spacing w:line="300" w:lineRule="auto"/>
        <w:ind w:left="720" w:hanging="720"/>
        <w:rPr>
          <w:rFonts w:ascii="Arial" w:hAnsi="Arial"/>
          <w:sz w:val="24"/>
        </w:rPr>
      </w:pPr>
    </w:p>
    <w:p w:rsidR="000D0DC5" w:rsidRDefault="000D0DC5" w:rsidP="002C6378">
      <w:pPr>
        <w:pStyle w:val="BodyText2"/>
      </w:pPr>
      <w:r>
        <w:t>Note: in compliance with section 100d of the Local Government (Access to Information) Act 1985 the report has been prepared in part from the following papers</w:t>
      </w:r>
      <w:proofErr w:type="gramStart"/>
      <w:r>
        <w:t>:-</w:t>
      </w:r>
      <w:proofErr w:type="gramEnd"/>
      <w:r>
        <w:t xml:space="preserve">  </w:t>
      </w:r>
      <w:r w:rsidR="002C6378" w:rsidRPr="002C6378">
        <w:t>Local Government (Miscellaneous Provisions) Act 1982 as amended by section 27 of the Policing and Crime Act 2009</w:t>
      </w:r>
      <w:r w:rsidR="002C6378">
        <w:t>.</w:t>
      </w:r>
    </w:p>
    <w:p w:rsidR="000D0DC5" w:rsidRDefault="000D0DC5">
      <w:pPr>
        <w:spacing w:line="300" w:lineRule="auto"/>
        <w:ind w:left="720" w:hanging="720"/>
        <w:rPr>
          <w:rFonts w:ascii="Arial" w:hAnsi="Arial"/>
          <w:sz w:val="18"/>
        </w:rPr>
      </w:pPr>
    </w:p>
    <w:p w:rsidR="000D0DC5" w:rsidRDefault="000D0DC5">
      <w:pPr>
        <w:pStyle w:val="Heading2"/>
        <w:rPr>
          <w:b w:val="0"/>
        </w:rPr>
      </w:pPr>
      <w:r>
        <w:rPr>
          <w:sz w:val="24"/>
        </w:rPr>
        <w:lastRenderedPageBreak/>
        <w:t xml:space="preserve">To the Members of the </w:t>
      </w:r>
      <w:r w:rsidR="003D4277">
        <w:t>Regulatory Panel</w:t>
      </w:r>
      <w:r>
        <w:rPr>
          <w:sz w:val="24"/>
        </w:rPr>
        <w:t xml:space="preserve"> </w:t>
      </w:r>
      <w:r w:rsidR="002C6378">
        <w:rPr>
          <w:sz w:val="24"/>
        </w:rPr>
        <w:t>13</w:t>
      </w:r>
      <w:r w:rsidR="002C6378" w:rsidRPr="002C6378">
        <w:rPr>
          <w:sz w:val="24"/>
          <w:vertAlign w:val="superscript"/>
        </w:rPr>
        <w:t>th</w:t>
      </w:r>
      <w:r w:rsidR="002C6378">
        <w:rPr>
          <w:sz w:val="24"/>
        </w:rPr>
        <w:t xml:space="preserve"> October 2010</w:t>
      </w:r>
    </w:p>
    <w:p w:rsidR="000D0DC5" w:rsidRDefault="000D0DC5">
      <w:pPr>
        <w:ind w:left="720" w:hanging="720"/>
        <w:rPr>
          <w:rFonts w:ascii="Arial" w:hAnsi="Arial"/>
          <w:sz w:val="24"/>
        </w:rPr>
      </w:pPr>
    </w:p>
    <w:p w:rsidR="000D0DC5" w:rsidRDefault="009A7EDF" w:rsidP="00FB0C58">
      <w:pPr>
        <w:pStyle w:val="Heading4"/>
        <w:ind w:left="1134" w:hanging="1134"/>
      </w:pPr>
      <w:r>
        <w:t>1</w:t>
      </w:r>
      <w:r>
        <w:tab/>
      </w:r>
      <w:r w:rsidR="000D0DC5">
        <w:t>Background</w:t>
      </w:r>
    </w:p>
    <w:p w:rsidR="000D0DC5" w:rsidRDefault="000D0DC5" w:rsidP="009A7EDF">
      <w:pPr>
        <w:ind w:left="1110"/>
        <w:rPr>
          <w:rFonts w:ascii="Arial" w:hAnsi="Arial"/>
          <w:sz w:val="24"/>
        </w:rPr>
      </w:pPr>
    </w:p>
    <w:p w:rsidR="00867CCF" w:rsidRDefault="00FB0C58" w:rsidP="00FB0C58">
      <w:pPr>
        <w:numPr>
          <w:ilvl w:val="1"/>
          <w:numId w:val="17"/>
        </w:numPr>
        <w:ind w:hanging="1110"/>
        <w:rPr>
          <w:rFonts w:ascii="Arial" w:hAnsi="Arial"/>
          <w:sz w:val="24"/>
        </w:rPr>
      </w:pPr>
      <w:r>
        <w:rPr>
          <w:rFonts w:ascii="Arial" w:hAnsi="Arial"/>
          <w:sz w:val="24"/>
        </w:rPr>
        <w:t xml:space="preserve">      </w:t>
      </w:r>
      <w:r w:rsidR="00867CCF">
        <w:rPr>
          <w:rFonts w:ascii="Arial" w:hAnsi="Arial"/>
          <w:sz w:val="24"/>
        </w:rPr>
        <w:t xml:space="preserve">Local authorities currently regulate sex establishments under Schedule 3 of the Local Government (Miscellaneous Provisions) Act 1982 which </w:t>
      </w:r>
      <w:r w:rsidR="00995AEA">
        <w:rPr>
          <w:rFonts w:ascii="Arial" w:hAnsi="Arial"/>
          <w:sz w:val="24"/>
        </w:rPr>
        <w:t>the City</w:t>
      </w:r>
      <w:r w:rsidR="00867CCF">
        <w:rPr>
          <w:rFonts w:ascii="Arial" w:hAnsi="Arial"/>
          <w:sz w:val="24"/>
        </w:rPr>
        <w:t xml:space="preserve"> Council adopted </w:t>
      </w:r>
      <w:r w:rsidR="00484FF4">
        <w:rPr>
          <w:rFonts w:ascii="Arial" w:hAnsi="Arial"/>
          <w:sz w:val="24"/>
        </w:rPr>
        <w:t>on 7 February 1989.</w:t>
      </w:r>
    </w:p>
    <w:p w:rsidR="00867CCF" w:rsidRDefault="00867CCF" w:rsidP="00867CCF">
      <w:pPr>
        <w:ind w:left="1110"/>
        <w:rPr>
          <w:rFonts w:ascii="Arial" w:hAnsi="Arial"/>
          <w:sz w:val="24"/>
        </w:rPr>
      </w:pPr>
    </w:p>
    <w:p w:rsidR="001149D1" w:rsidRDefault="00867CCF" w:rsidP="001149D1">
      <w:pPr>
        <w:numPr>
          <w:ilvl w:val="1"/>
          <w:numId w:val="17"/>
        </w:numPr>
        <w:ind w:hanging="1110"/>
        <w:rPr>
          <w:rFonts w:ascii="Arial" w:hAnsi="Arial"/>
          <w:sz w:val="24"/>
        </w:rPr>
      </w:pPr>
      <w:r>
        <w:rPr>
          <w:rFonts w:ascii="Arial" w:hAnsi="Arial"/>
          <w:sz w:val="24"/>
        </w:rPr>
        <w:t xml:space="preserve">      </w:t>
      </w:r>
      <w:r w:rsidR="001149D1">
        <w:rPr>
          <w:rFonts w:ascii="Arial" w:hAnsi="Arial"/>
          <w:sz w:val="24"/>
        </w:rPr>
        <w:t>The Licensing Act 2003 brought in a new regime of regulated entertainment which did not take account of ‘adult entertainment’ and this has created problems in some areas of the country.</w:t>
      </w:r>
    </w:p>
    <w:p w:rsidR="001149D1" w:rsidRDefault="001149D1" w:rsidP="001149D1">
      <w:pPr>
        <w:pStyle w:val="ListParagraph"/>
        <w:rPr>
          <w:rFonts w:ascii="Arial" w:hAnsi="Arial"/>
          <w:sz w:val="24"/>
        </w:rPr>
      </w:pPr>
    </w:p>
    <w:p w:rsidR="001149D1" w:rsidRPr="001149D1" w:rsidRDefault="001149D1" w:rsidP="001149D1">
      <w:pPr>
        <w:numPr>
          <w:ilvl w:val="1"/>
          <w:numId w:val="17"/>
        </w:numPr>
        <w:ind w:hanging="1110"/>
        <w:rPr>
          <w:rFonts w:ascii="Arial" w:hAnsi="Arial"/>
          <w:sz w:val="24"/>
        </w:rPr>
      </w:pPr>
      <w:r>
        <w:rPr>
          <w:rFonts w:ascii="Arial" w:hAnsi="Arial"/>
          <w:sz w:val="24"/>
        </w:rPr>
        <w:t xml:space="preserve">      In Carlisle we only have one establishment where ‘adult entertainment’ is held on a regular basis.  There are others where it takes place infrequently.  All have liaised closely with the licensing office prior to offering this entertainment.</w:t>
      </w:r>
    </w:p>
    <w:p w:rsidR="00867CCF" w:rsidRDefault="00867CCF" w:rsidP="00867CCF">
      <w:pPr>
        <w:ind w:left="1110"/>
        <w:rPr>
          <w:rFonts w:ascii="Arial" w:hAnsi="Arial"/>
          <w:sz w:val="24"/>
        </w:rPr>
      </w:pPr>
    </w:p>
    <w:p w:rsidR="00867CCF" w:rsidRDefault="00867CCF" w:rsidP="00867CCF">
      <w:pPr>
        <w:ind w:left="1134" w:hanging="1134"/>
        <w:rPr>
          <w:rFonts w:ascii="Arial" w:hAnsi="Arial"/>
          <w:b/>
          <w:sz w:val="24"/>
        </w:rPr>
      </w:pPr>
      <w:r>
        <w:rPr>
          <w:rFonts w:ascii="Arial" w:hAnsi="Arial"/>
          <w:b/>
          <w:sz w:val="24"/>
        </w:rPr>
        <w:t>2</w:t>
      </w:r>
      <w:r>
        <w:rPr>
          <w:rFonts w:ascii="Arial" w:hAnsi="Arial"/>
          <w:b/>
          <w:sz w:val="24"/>
        </w:rPr>
        <w:tab/>
      </w:r>
      <w:r w:rsidRPr="00867CCF">
        <w:rPr>
          <w:rFonts w:ascii="Arial" w:hAnsi="Arial"/>
          <w:b/>
          <w:sz w:val="24"/>
        </w:rPr>
        <w:t>Policing and Crime Act 2009</w:t>
      </w:r>
    </w:p>
    <w:p w:rsidR="00867CCF" w:rsidRDefault="00867CCF" w:rsidP="00867CCF">
      <w:pPr>
        <w:ind w:left="1134" w:hanging="1134"/>
        <w:rPr>
          <w:rFonts w:ascii="Arial" w:hAnsi="Arial"/>
          <w:b/>
          <w:sz w:val="24"/>
        </w:rPr>
      </w:pPr>
    </w:p>
    <w:p w:rsidR="00867CCF" w:rsidRDefault="00867CCF" w:rsidP="00867CCF">
      <w:pPr>
        <w:ind w:left="1134" w:hanging="1134"/>
        <w:rPr>
          <w:rFonts w:ascii="Arial" w:hAnsi="Arial"/>
          <w:sz w:val="24"/>
        </w:rPr>
      </w:pPr>
      <w:r>
        <w:rPr>
          <w:rFonts w:ascii="Arial" w:hAnsi="Arial"/>
          <w:sz w:val="24"/>
        </w:rPr>
        <w:t>2.1</w:t>
      </w:r>
      <w:r>
        <w:rPr>
          <w:rFonts w:ascii="Arial" w:hAnsi="Arial"/>
          <w:sz w:val="24"/>
        </w:rPr>
        <w:tab/>
      </w:r>
      <w:r w:rsidR="009A7EDF">
        <w:rPr>
          <w:rFonts w:ascii="Arial" w:hAnsi="Arial"/>
          <w:sz w:val="24"/>
        </w:rPr>
        <w:t>Section 27 of The Policing and Crime Act 2009 introduced a new category of sex establishment called ‘Sexual Entertainment Venue’, which will allow local authorities to regulate lap dancing and similar entertainment under Schedule 3 of the Local Government (Miscellaneous Provisions) Act 1982.</w:t>
      </w:r>
    </w:p>
    <w:p w:rsidR="00867CCF" w:rsidRDefault="00867CCF" w:rsidP="00867CCF">
      <w:pPr>
        <w:ind w:left="1134" w:hanging="1134"/>
        <w:rPr>
          <w:rFonts w:ascii="Arial" w:hAnsi="Arial"/>
          <w:sz w:val="24"/>
        </w:rPr>
      </w:pPr>
    </w:p>
    <w:p w:rsidR="00867CCF" w:rsidRDefault="00867CCF" w:rsidP="00867CCF">
      <w:pPr>
        <w:ind w:left="1134" w:hanging="1134"/>
        <w:rPr>
          <w:rFonts w:ascii="Arial" w:hAnsi="Arial"/>
          <w:sz w:val="24"/>
        </w:rPr>
      </w:pPr>
      <w:r>
        <w:rPr>
          <w:rFonts w:ascii="Arial" w:hAnsi="Arial"/>
          <w:sz w:val="24"/>
        </w:rPr>
        <w:t>2.2</w:t>
      </w:r>
      <w:r>
        <w:rPr>
          <w:rFonts w:ascii="Arial" w:hAnsi="Arial"/>
          <w:sz w:val="24"/>
        </w:rPr>
        <w:tab/>
      </w:r>
      <w:r w:rsidR="00B60E76" w:rsidRPr="00B60E76">
        <w:rPr>
          <w:rFonts w:ascii="Arial" w:hAnsi="Arial"/>
          <w:sz w:val="24"/>
        </w:rPr>
        <w:t>Where adopted, these provisions</w:t>
      </w:r>
      <w:r w:rsidR="00B60E76">
        <w:rPr>
          <w:rFonts w:ascii="Arial" w:hAnsi="Arial"/>
          <w:sz w:val="24"/>
        </w:rPr>
        <w:t xml:space="preserve"> </w:t>
      </w:r>
      <w:r w:rsidR="00B60E76" w:rsidRPr="00B60E76">
        <w:rPr>
          <w:rFonts w:ascii="Arial" w:hAnsi="Arial"/>
          <w:sz w:val="24"/>
        </w:rPr>
        <w:t>will allow local authorities to refuse an application on potentially wider grounds than</w:t>
      </w:r>
      <w:r w:rsidR="00B60E76">
        <w:rPr>
          <w:rFonts w:ascii="Arial" w:hAnsi="Arial"/>
          <w:sz w:val="24"/>
        </w:rPr>
        <w:t xml:space="preserve"> </w:t>
      </w:r>
      <w:r w:rsidR="009A7EDF">
        <w:rPr>
          <w:rFonts w:ascii="Arial" w:hAnsi="Arial"/>
          <w:sz w:val="24"/>
        </w:rPr>
        <w:t>currently permitte</w:t>
      </w:r>
      <w:r>
        <w:rPr>
          <w:rFonts w:ascii="Arial" w:hAnsi="Arial"/>
          <w:sz w:val="24"/>
        </w:rPr>
        <w:t>d under the Licensing Act 2003.</w:t>
      </w:r>
    </w:p>
    <w:p w:rsidR="00867CCF" w:rsidRDefault="00867CCF" w:rsidP="00867CCF">
      <w:pPr>
        <w:ind w:left="1134" w:hanging="1134"/>
        <w:rPr>
          <w:rFonts w:ascii="Arial" w:hAnsi="Arial"/>
          <w:sz w:val="24"/>
        </w:rPr>
      </w:pPr>
    </w:p>
    <w:p w:rsidR="001149D1" w:rsidRDefault="00867CCF" w:rsidP="00867CCF">
      <w:pPr>
        <w:ind w:left="1134" w:hanging="1134"/>
        <w:rPr>
          <w:rFonts w:ascii="Arial" w:hAnsi="Arial"/>
          <w:sz w:val="24"/>
        </w:rPr>
      </w:pPr>
      <w:r>
        <w:rPr>
          <w:rFonts w:ascii="Arial" w:hAnsi="Arial"/>
          <w:sz w:val="24"/>
        </w:rPr>
        <w:t>2.3</w:t>
      </w:r>
      <w:r>
        <w:rPr>
          <w:rFonts w:ascii="Arial" w:hAnsi="Arial"/>
          <w:sz w:val="24"/>
        </w:rPr>
        <w:tab/>
        <w:t>T</w:t>
      </w:r>
      <w:r w:rsidR="00B60E76" w:rsidRPr="009A7EDF">
        <w:rPr>
          <w:rFonts w:ascii="Arial" w:hAnsi="Arial"/>
          <w:sz w:val="24"/>
        </w:rPr>
        <w:t>he procedure for local authorities to adopt Schedule 3 as amended by section 27 is set out in section 2 of the 1982 Act.</w:t>
      </w:r>
      <w:r w:rsidR="00894A85">
        <w:rPr>
          <w:rFonts w:ascii="Arial" w:hAnsi="Arial"/>
          <w:sz w:val="24"/>
        </w:rPr>
        <w:t xml:space="preserve">  T</w:t>
      </w:r>
      <w:r w:rsidR="00B60E76" w:rsidRPr="009A7EDF">
        <w:rPr>
          <w:rFonts w:ascii="Arial" w:hAnsi="Arial"/>
          <w:sz w:val="24"/>
        </w:rPr>
        <w:t xml:space="preserve">he local authority must pass a resolution specifying that the amendments made by section 27 to Schedule 3 shall apply to their area and the day on which it shall come into force in the area. The specified day must be more than one month after the day on which the resolution was passed. </w:t>
      </w:r>
    </w:p>
    <w:p w:rsidR="001149D1" w:rsidRDefault="001149D1" w:rsidP="00867CCF">
      <w:pPr>
        <w:ind w:left="1134" w:hanging="1134"/>
        <w:rPr>
          <w:rFonts w:ascii="Arial" w:hAnsi="Arial"/>
          <w:sz w:val="24"/>
        </w:rPr>
      </w:pPr>
    </w:p>
    <w:p w:rsidR="009A7EDF" w:rsidRDefault="001149D1" w:rsidP="00867CCF">
      <w:pPr>
        <w:ind w:left="1134" w:hanging="1134"/>
        <w:rPr>
          <w:rFonts w:ascii="Arial" w:hAnsi="Arial"/>
          <w:sz w:val="24"/>
        </w:rPr>
      </w:pPr>
      <w:r>
        <w:rPr>
          <w:rFonts w:ascii="Arial" w:hAnsi="Arial"/>
          <w:sz w:val="24"/>
        </w:rPr>
        <w:t>2.4</w:t>
      </w:r>
      <w:r>
        <w:rPr>
          <w:rFonts w:ascii="Arial" w:hAnsi="Arial"/>
          <w:sz w:val="24"/>
        </w:rPr>
        <w:tab/>
      </w:r>
      <w:r w:rsidR="00B60E76" w:rsidRPr="009A7EDF">
        <w:rPr>
          <w:rFonts w:ascii="Arial" w:hAnsi="Arial"/>
          <w:sz w:val="24"/>
        </w:rPr>
        <w:t>The</w:t>
      </w:r>
      <w:r w:rsidR="009A7EDF" w:rsidRPr="009A7EDF">
        <w:rPr>
          <w:rFonts w:ascii="Arial" w:hAnsi="Arial"/>
          <w:sz w:val="24"/>
        </w:rPr>
        <w:t xml:space="preserve"> </w:t>
      </w:r>
      <w:r w:rsidR="00B60E76" w:rsidRPr="009A7EDF">
        <w:rPr>
          <w:rFonts w:ascii="Arial" w:hAnsi="Arial"/>
          <w:sz w:val="24"/>
        </w:rPr>
        <w:t>local authority shall also publish notice that they have passed the resolution for two</w:t>
      </w:r>
      <w:r w:rsidR="009A7EDF" w:rsidRPr="009A7EDF">
        <w:rPr>
          <w:rFonts w:ascii="Arial" w:hAnsi="Arial"/>
          <w:sz w:val="24"/>
        </w:rPr>
        <w:t xml:space="preserve"> </w:t>
      </w:r>
      <w:r w:rsidR="00B60E76" w:rsidRPr="009A7EDF">
        <w:rPr>
          <w:rFonts w:ascii="Arial" w:hAnsi="Arial"/>
          <w:sz w:val="24"/>
        </w:rPr>
        <w:t>consecutive weeks in a local newspaper that is circulated in their area. The first</w:t>
      </w:r>
      <w:r w:rsidR="009A7EDF" w:rsidRPr="009A7EDF">
        <w:rPr>
          <w:rFonts w:ascii="Arial" w:hAnsi="Arial"/>
          <w:sz w:val="24"/>
        </w:rPr>
        <w:t xml:space="preserve"> </w:t>
      </w:r>
      <w:r w:rsidR="00B60E76" w:rsidRPr="009A7EDF">
        <w:rPr>
          <w:rFonts w:ascii="Arial" w:hAnsi="Arial"/>
          <w:sz w:val="24"/>
        </w:rPr>
        <w:t>publication shall not be later than 28 days before the day specified in the resolution</w:t>
      </w:r>
      <w:r w:rsidR="009A7EDF" w:rsidRPr="009A7EDF">
        <w:rPr>
          <w:rFonts w:ascii="Arial" w:hAnsi="Arial"/>
          <w:sz w:val="24"/>
        </w:rPr>
        <w:t xml:space="preserve"> </w:t>
      </w:r>
      <w:r w:rsidR="00B60E76" w:rsidRPr="009A7EDF">
        <w:rPr>
          <w:rFonts w:ascii="Arial" w:hAnsi="Arial"/>
          <w:sz w:val="24"/>
        </w:rPr>
        <w:t>for the provisions to come into force in the local authority’s area and the notice</w:t>
      </w:r>
      <w:r w:rsidR="009A7EDF" w:rsidRPr="009A7EDF">
        <w:rPr>
          <w:rFonts w:ascii="Arial" w:hAnsi="Arial"/>
          <w:sz w:val="24"/>
        </w:rPr>
        <w:t xml:space="preserve"> </w:t>
      </w:r>
      <w:r w:rsidR="00B60E76" w:rsidRPr="009A7EDF">
        <w:rPr>
          <w:rFonts w:ascii="Arial" w:hAnsi="Arial"/>
          <w:sz w:val="24"/>
        </w:rPr>
        <w:t>should state the general effect of Schedule 3.</w:t>
      </w:r>
    </w:p>
    <w:p w:rsidR="009A7EDF" w:rsidRDefault="009A7EDF" w:rsidP="00FB0C58">
      <w:pPr>
        <w:pStyle w:val="ListParagraph"/>
        <w:ind w:hanging="1110"/>
        <w:rPr>
          <w:rFonts w:ascii="Arial" w:hAnsi="Arial"/>
          <w:sz w:val="24"/>
        </w:rPr>
      </w:pPr>
    </w:p>
    <w:p w:rsidR="009A7EDF" w:rsidRDefault="001149D1" w:rsidP="001149D1">
      <w:pPr>
        <w:ind w:left="1134" w:hanging="1134"/>
        <w:rPr>
          <w:rFonts w:ascii="Arial" w:hAnsi="Arial"/>
          <w:sz w:val="24"/>
        </w:rPr>
      </w:pPr>
      <w:r>
        <w:rPr>
          <w:rFonts w:ascii="Arial" w:hAnsi="Arial"/>
          <w:sz w:val="24"/>
        </w:rPr>
        <w:t>2.5</w:t>
      </w:r>
      <w:r>
        <w:rPr>
          <w:rFonts w:ascii="Arial" w:hAnsi="Arial"/>
          <w:sz w:val="24"/>
        </w:rPr>
        <w:tab/>
      </w:r>
      <w:r w:rsidR="00B60E76" w:rsidRPr="009A7EDF">
        <w:rPr>
          <w:rFonts w:ascii="Arial" w:hAnsi="Arial"/>
          <w:sz w:val="24"/>
        </w:rPr>
        <w:t xml:space="preserve">There will </w:t>
      </w:r>
      <w:r>
        <w:rPr>
          <w:rFonts w:ascii="Arial" w:hAnsi="Arial"/>
          <w:sz w:val="24"/>
        </w:rPr>
        <w:t xml:space="preserve">be a transitional period for 12 </w:t>
      </w:r>
      <w:r w:rsidR="00B60E76" w:rsidRPr="009A7EDF">
        <w:rPr>
          <w:rFonts w:ascii="Arial" w:hAnsi="Arial"/>
          <w:sz w:val="24"/>
        </w:rPr>
        <w:t>months beginning with the date that the local</w:t>
      </w:r>
      <w:r w:rsidR="009A7EDF" w:rsidRPr="009A7EDF">
        <w:rPr>
          <w:rFonts w:ascii="Arial" w:hAnsi="Arial"/>
          <w:sz w:val="24"/>
        </w:rPr>
        <w:t xml:space="preserve"> </w:t>
      </w:r>
      <w:r w:rsidR="00B60E76" w:rsidRPr="009A7EDF">
        <w:rPr>
          <w:rFonts w:ascii="Arial" w:hAnsi="Arial"/>
          <w:sz w:val="24"/>
        </w:rPr>
        <w:t>authority resolves that Schedule 3 as amended by the 2009 Act will come into force</w:t>
      </w:r>
      <w:r w:rsidR="009A7EDF" w:rsidRPr="009A7EDF">
        <w:rPr>
          <w:rFonts w:ascii="Arial" w:hAnsi="Arial"/>
          <w:sz w:val="24"/>
        </w:rPr>
        <w:t xml:space="preserve"> </w:t>
      </w:r>
      <w:r w:rsidR="00B60E76" w:rsidRPr="009A7EDF">
        <w:rPr>
          <w:rFonts w:ascii="Arial" w:hAnsi="Arial"/>
          <w:sz w:val="24"/>
        </w:rPr>
        <w:t>in their area. This is to allow any existing venues to obtain the appropriate licence.</w:t>
      </w:r>
    </w:p>
    <w:p w:rsidR="001C1524" w:rsidRDefault="001C1524" w:rsidP="001149D1">
      <w:pPr>
        <w:ind w:left="1134" w:hanging="1134"/>
        <w:rPr>
          <w:rFonts w:ascii="Arial" w:hAnsi="Arial"/>
          <w:sz w:val="24"/>
        </w:rPr>
      </w:pPr>
    </w:p>
    <w:p w:rsidR="001C1524" w:rsidRDefault="001C1524" w:rsidP="001149D1">
      <w:pPr>
        <w:ind w:left="1134" w:hanging="1134"/>
        <w:rPr>
          <w:rFonts w:ascii="Arial" w:hAnsi="Arial"/>
          <w:sz w:val="24"/>
        </w:rPr>
      </w:pPr>
      <w:r>
        <w:rPr>
          <w:rFonts w:ascii="Arial" w:hAnsi="Arial"/>
          <w:sz w:val="24"/>
        </w:rPr>
        <w:t>2.6</w:t>
      </w:r>
      <w:r>
        <w:rPr>
          <w:rFonts w:ascii="Arial" w:hAnsi="Arial"/>
          <w:sz w:val="24"/>
        </w:rPr>
        <w:tab/>
        <w:t>If the Council decides not to make such a resolution as mentioned above by 6</w:t>
      </w:r>
      <w:r w:rsidRPr="001C1524">
        <w:rPr>
          <w:rFonts w:ascii="Arial" w:hAnsi="Arial"/>
          <w:sz w:val="24"/>
          <w:vertAlign w:val="superscript"/>
        </w:rPr>
        <w:t>th</w:t>
      </w:r>
      <w:r>
        <w:rPr>
          <w:rFonts w:ascii="Arial" w:hAnsi="Arial"/>
          <w:sz w:val="24"/>
        </w:rPr>
        <w:t xml:space="preserve"> April 2011, i</w:t>
      </w:r>
      <w:r w:rsidR="00894A85">
        <w:rPr>
          <w:rFonts w:ascii="Arial" w:hAnsi="Arial"/>
          <w:sz w:val="24"/>
        </w:rPr>
        <w:t>t must, as soon as is reasonably</w:t>
      </w:r>
      <w:r>
        <w:rPr>
          <w:rFonts w:ascii="Arial" w:hAnsi="Arial"/>
          <w:sz w:val="24"/>
        </w:rPr>
        <w:t xml:space="preserve"> practicable, consult local people about whether they should make such a resolution.  The purpose of this duty is to ensure that local authorities consider the views of local people where, for whatever reason, they have not adopted the legislation. </w:t>
      </w:r>
    </w:p>
    <w:p w:rsidR="009A7EDF" w:rsidRDefault="009A7EDF" w:rsidP="00FB0C58">
      <w:pPr>
        <w:pStyle w:val="ListParagraph"/>
        <w:ind w:left="1134" w:hanging="1110"/>
        <w:rPr>
          <w:rFonts w:ascii="Arial" w:hAnsi="Arial"/>
          <w:sz w:val="24"/>
        </w:rPr>
      </w:pPr>
    </w:p>
    <w:p w:rsidR="009A7EDF" w:rsidRDefault="000A1BEA" w:rsidP="005C2354">
      <w:pPr>
        <w:numPr>
          <w:ilvl w:val="1"/>
          <w:numId w:val="22"/>
        </w:numPr>
        <w:ind w:left="1134" w:hanging="1134"/>
        <w:rPr>
          <w:rFonts w:ascii="Arial" w:hAnsi="Arial"/>
          <w:sz w:val="24"/>
        </w:rPr>
      </w:pPr>
      <w:r>
        <w:rPr>
          <w:rFonts w:ascii="Arial" w:hAnsi="Arial"/>
          <w:sz w:val="24"/>
        </w:rPr>
        <w:lastRenderedPageBreak/>
        <w:t xml:space="preserve">       </w:t>
      </w:r>
      <w:r w:rsidR="00B60E76" w:rsidRPr="009A7EDF">
        <w:rPr>
          <w:rFonts w:ascii="Arial" w:hAnsi="Arial"/>
          <w:sz w:val="24"/>
        </w:rPr>
        <w:t>A sexual entertainment venue is defined in Schedule 3 of the Act as “any premises at</w:t>
      </w:r>
      <w:r w:rsidR="009A7EDF" w:rsidRPr="009A7EDF">
        <w:rPr>
          <w:rFonts w:ascii="Arial" w:hAnsi="Arial"/>
          <w:sz w:val="24"/>
        </w:rPr>
        <w:t xml:space="preserve"> </w:t>
      </w:r>
      <w:r w:rsidR="00B60E76" w:rsidRPr="009A7EDF">
        <w:rPr>
          <w:rFonts w:ascii="Arial" w:hAnsi="Arial"/>
          <w:sz w:val="24"/>
        </w:rPr>
        <w:t>which relevant entertainment is provided before a live audience for the financial gain</w:t>
      </w:r>
      <w:r w:rsidR="009A7EDF" w:rsidRPr="009A7EDF">
        <w:rPr>
          <w:rFonts w:ascii="Arial" w:hAnsi="Arial"/>
          <w:sz w:val="24"/>
        </w:rPr>
        <w:t xml:space="preserve"> </w:t>
      </w:r>
      <w:r w:rsidR="00B60E76" w:rsidRPr="009A7EDF">
        <w:rPr>
          <w:rFonts w:ascii="Arial" w:hAnsi="Arial"/>
          <w:sz w:val="24"/>
        </w:rPr>
        <w:t>of the organiser or the entertainer.” ‘Relevant entertainment’ is “any live performance</w:t>
      </w:r>
      <w:r w:rsidR="009A7EDF" w:rsidRPr="009A7EDF">
        <w:rPr>
          <w:rFonts w:ascii="Arial" w:hAnsi="Arial"/>
          <w:sz w:val="24"/>
        </w:rPr>
        <w:t xml:space="preserve"> </w:t>
      </w:r>
      <w:r w:rsidR="00B60E76" w:rsidRPr="009A7EDF">
        <w:rPr>
          <w:rFonts w:ascii="Arial" w:hAnsi="Arial"/>
          <w:sz w:val="24"/>
        </w:rPr>
        <w:t>or live display of nudity which is of such a nature that, ignoring financial gain, it must</w:t>
      </w:r>
      <w:r w:rsidR="009A7EDF" w:rsidRPr="009A7EDF">
        <w:rPr>
          <w:rFonts w:ascii="Arial" w:hAnsi="Arial"/>
          <w:sz w:val="24"/>
        </w:rPr>
        <w:t xml:space="preserve"> </w:t>
      </w:r>
      <w:r w:rsidR="00B60E76" w:rsidRPr="009A7EDF">
        <w:rPr>
          <w:rFonts w:ascii="Arial" w:hAnsi="Arial"/>
          <w:sz w:val="24"/>
        </w:rPr>
        <w:t>reasonably be assumed to be provided solely or principally for the purpose of</w:t>
      </w:r>
      <w:r w:rsidR="009A7EDF" w:rsidRPr="009A7EDF">
        <w:rPr>
          <w:rFonts w:ascii="Arial" w:hAnsi="Arial"/>
          <w:sz w:val="24"/>
        </w:rPr>
        <w:t xml:space="preserve"> </w:t>
      </w:r>
      <w:r w:rsidR="00B60E76" w:rsidRPr="009A7EDF">
        <w:rPr>
          <w:rFonts w:ascii="Arial" w:hAnsi="Arial"/>
          <w:sz w:val="24"/>
        </w:rPr>
        <w:t>sexually stimulating any member of an audience (whether by verbal or other</w:t>
      </w:r>
      <w:r w:rsidR="009A7EDF" w:rsidRPr="009A7EDF">
        <w:rPr>
          <w:rFonts w:ascii="Arial" w:hAnsi="Arial"/>
          <w:sz w:val="24"/>
        </w:rPr>
        <w:t xml:space="preserve"> </w:t>
      </w:r>
      <w:r w:rsidR="00B60E76" w:rsidRPr="009A7EDF">
        <w:rPr>
          <w:rFonts w:ascii="Arial" w:hAnsi="Arial"/>
          <w:sz w:val="24"/>
        </w:rPr>
        <w:t>means).”</w:t>
      </w:r>
      <w:r w:rsidR="001149D1">
        <w:rPr>
          <w:rFonts w:ascii="Arial" w:hAnsi="Arial"/>
          <w:sz w:val="24"/>
        </w:rPr>
        <w:t xml:space="preserve"> </w:t>
      </w:r>
      <w:r w:rsidR="00B60E76" w:rsidRPr="009A7EDF">
        <w:rPr>
          <w:rFonts w:ascii="Arial" w:hAnsi="Arial"/>
          <w:sz w:val="24"/>
        </w:rPr>
        <w:t xml:space="preserve"> An audience can consist of just one person (e.g. where the entertainment</w:t>
      </w:r>
      <w:r w:rsidR="009A7EDF" w:rsidRPr="009A7EDF">
        <w:rPr>
          <w:rFonts w:ascii="Arial" w:hAnsi="Arial"/>
          <w:sz w:val="24"/>
        </w:rPr>
        <w:t xml:space="preserve"> </w:t>
      </w:r>
      <w:r w:rsidR="00B60E76" w:rsidRPr="009A7EDF">
        <w:rPr>
          <w:rFonts w:ascii="Arial" w:hAnsi="Arial"/>
          <w:sz w:val="24"/>
        </w:rPr>
        <w:t xml:space="preserve">takes place in private booths). </w:t>
      </w:r>
    </w:p>
    <w:p w:rsidR="009A7EDF" w:rsidRDefault="009A7EDF" w:rsidP="00FB0C58">
      <w:pPr>
        <w:pStyle w:val="ListParagraph"/>
        <w:ind w:left="1134" w:hanging="1110"/>
        <w:rPr>
          <w:rFonts w:ascii="Arial" w:hAnsi="Arial"/>
          <w:sz w:val="24"/>
        </w:rPr>
      </w:pPr>
    </w:p>
    <w:p w:rsidR="009A7EDF" w:rsidRDefault="00FB0C58" w:rsidP="005C2354">
      <w:pPr>
        <w:numPr>
          <w:ilvl w:val="1"/>
          <w:numId w:val="22"/>
        </w:numPr>
        <w:ind w:left="1134" w:hanging="1134"/>
        <w:rPr>
          <w:rFonts w:ascii="Arial" w:hAnsi="Arial"/>
          <w:sz w:val="24"/>
        </w:rPr>
      </w:pPr>
      <w:r>
        <w:rPr>
          <w:rFonts w:ascii="Arial" w:hAnsi="Arial"/>
          <w:sz w:val="24"/>
        </w:rPr>
        <w:t xml:space="preserve">      </w:t>
      </w:r>
      <w:r w:rsidR="00B60E76" w:rsidRPr="009A7EDF">
        <w:rPr>
          <w:rFonts w:ascii="Arial" w:hAnsi="Arial"/>
          <w:sz w:val="24"/>
        </w:rPr>
        <w:t xml:space="preserve">While each case </w:t>
      </w:r>
      <w:r w:rsidR="005C2354">
        <w:rPr>
          <w:rFonts w:ascii="Arial" w:hAnsi="Arial"/>
          <w:sz w:val="24"/>
        </w:rPr>
        <w:t>will</w:t>
      </w:r>
      <w:r w:rsidR="00B60E76" w:rsidRPr="009A7EDF">
        <w:rPr>
          <w:rFonts w:ascii="Arial" w:hAnsi="Arial"/>
          <w:sz w:val="24"/>
        </w:rPr>
        <w:t xml:space="preserve"> be judged on its own merits, it</w:t>
      </w:r>
      <w:r w:rsidR="009A7EDF" w:rsidRPr="009A7EDF">
        <w:rPr>
          <w:rFonts w:ascii="Arial" w:hAnsi="Arial"/>
          <w:sz w:val="24"/>
        </w:rPr>
        <w:t xml:space="preserve"> </w:t>
      </w:r>
      <w:r w:rsidR="005C2354">
        <w:rPr>
          <w:rFonts w:ascii="Arial" w:hAnsi="Arial"/>
          <w:sz w:val="24"/>
        </w:rPr>
        <w:t>is</w:t>
      </w:r>
      <w:r w:rsidR="00B60E76" w:rsidRPr="009A7EDF">
        <w:rPr>
          <w:rFonts w:ascii="Arial" w:hAnsi="Arial"/>
          <w:sz w:val="24"/>
        </w:rPr>
        <w:t xml:space="preserve"> expected that premises providing the following would be included: </w:t>
      </w:r>
    </w:p>
    <w:p w:rsidR="009A7EDF" w:rsidRDefault="009A7EDF" w:rsidP="00FB0C58">
      <w:pPr>
        <w:pStyle w:val="ListParagraph"/>
        <w:ind w:left="1134" w:hanging="1110"/>
        <w:rPr>
          <w:rFonts w:ascii="Arial" w:hAnsi="Arial"/>
          <w:sz w:val="24"/>
        </w:rPr>
      </w:pPr>
    </w:p>
    <w:p w:rsidR="009A7EDF" w:rsidRDefault="00B60E76" w:rsidP="00FB0C58">
      <w:pPr>
        <w:numPr>
          <w:ilvl w:val="0"/>
          <w:numId w:val="18"/>
        </w:numPr>
        <w:ind w:left="1134" w:firstLine="0"/>
        <w:rPr>
          <w:rFonts w:ascii="Arial" w:hAnsi="Arial"/>
          <w:sz w:val="24"/>
        </w:rPr>
      </w:pPr>
      <w:r w:rsidRPr="009A7EDF">
        <w:rPr>
          <w:rFonts w:ascii="Arial" w:hAnsi="Arial"/>
          <w:sz w:val="24"/>
        </w:rPr>
        <w:t>lap</w:t>
      </w:r>
      <w:r w:rsidR="009A7EDF" w:rsidRPr="009A7EDF">
        <w:rPr>
          <w:rFonts w:ascii="Arial" w:hAnsi="Arial"/>
          <w:sz w:val="24"/>
        </w:rPr>
        <w:t xml:space="preserve"> </w:t>
      </w:r>
      <w:r w:rsidRPr="009A7EDF">
        <w:rPr>
          <w:rFonts w:ascii="Arial" w:hAnsi="Arial"/>
          <w:sz w:val="24"/>
        </w:rPr>
        <w:t>dancing</w:t>
      </w:r>
    </w:p>
    <w:p w:rsidR="009A7EDF" w:rsidRDefault="00B60E76" w:rsidP="00FB0C58">
      <w:pPr>
        <w:numPr>
          <w:ilvl w:val="0"/>
          <w:numId w:val="18"/>
        </w:numPr>
        <w:ind w:left="1134" w:firstLine="0"/>
        <w:rPr>
          <w:rFonts w:ascii="Arial" w:hAnsi="Arial"/>
          <w:sz w:val="24"/>
        </w:rPr>
      </w:pPr>
      <w:r w:rsidRPr="009A7EDF">
        <w:rPr>
          <w:rFonts w:ascii="Arial" w:hAnsi="Arial"/>
          <w:sz w:val="24"/>
        </w:rPr>
        <w:t>pole dancing</w:t>
      </w:r>
    </w:p>
    <w:p w:rsidR="009A7EDF" w:rsidRDefault="00B60E76" w:rsidP="00FB0C58">
      <w:pPr>
        <w:numPr>
          <w:ilvl w:val="0"/>
          <w:numId w:val="18"/>
        </w:numPr>
        <w:ind w:left="1134" w:firstLine="0"/>
        <w:rPr>
          <w:rFonts w:ascii="Arial" w:hAnsi="Arial"/>
          <w:sz w:val="24"/>
        </w:rPr>
      </w:pPr>
      <w:r w:rsidRPr="009A7EDF">
        <w:rPr>
          <w:rFonts w:ascii="Arial" w:hAnsi="Arial"/>
          <w:sz w:val="24"/>
        </w:rPr>
        <w:t>table dancing</w:t>
      </w:r>
    </w:p>
    <w:p w:rsidR="009A7EDF" w:rsidRDefault="00B60E76" w:rsidP="00FB0C58">
      <w:pPr>
        <w:numPr>
          <w:ilvl w:val="0"/>
          <w:numId w:val="18"/>
        </w:numPr>
        <w:ind w:left="1134" w:firstLine="0"/>
        <w:rPr>
          <w:rFonts w:ascii="Arial" w:hAnsi="Arial"/>
          <w:sz w:val="24"/>
        </w:rPr>
      </w:pPr>
      <w:r w:rsidRPr="009A7EDF">
        <w:rPr>
          <w:rFonts w:ascii="Arial" w:hAnsi="Arial"/>
          <w:sz w:val="24"/>
        </w:rPr>
        <w:t>strip shows</w:t>
      </w:r>
    </w:p>
    <w:p w:rsidR="009A7EDF" w:rsidRDefault="00B60E76" w:rsidP="00FB0C58">
      <w:pPr>
        <w:numPr>
          <w:ilvl w:val="0"/>
          <w:numId w:val="18"/>
        </w:numPr>
        <w:ind w:left="1134" w:firstLine="0"/>
        <w:rPr>
          <w:rFonts w:ascii="Arial" w:hAnsi="Arial"/>
          <w:sz w:val="24"/>
        </w:rPr>
      </w:pPr>
      <w:r w:rsidRPr="009A7EDF">
        <w:rPr>
          <w:rFonts w:ascii="Arial" w:hAnsi="Arial"/>
          <w:sz w:val="24"/>
        </w:rPr>
        <w:t>peep shows</w:t>
      </w:r>
    </w:p>
    <w:p w:rsidR="009A7EDF" w:rsidRDefault="009A7EDF" w:rsidP="00FB0C58">
      <w:pPr>
        <w:numPr>
          <w:ilvl w:val="0"/>
          <w:numId w:val="18"/>
        </w:numPr>
        <w:ind w:left="1134" w:firstLine="0"/>
        <w:rPr>
          <w:rFonts w:ascii="Arial" w:hAnsi="Arial"/>
          <w:sz w:val="24"/>
        </w:rPr>
      </w:pPr>
      <w:r>
        <w:rPr>
          <w:rFonts w:ascii="Arial" w:hAnsi="Arial"/>
          <w:sz w:val="24"/>
        </w:rPr>
        <w:t>live sex shows</w:t>
      </w:r>
    </w:p>
    <w:p w:rsidR="009A7EDF" w:rsidRDefault="009A7EDF" w:rsidP="00FB0C58">
      <w:pPr>
        <w:ind w:left="1134" w:hanging="1110"/>
        <w:rPr>
          <w:rFonts w:ascii="Arial" w:hAnsi="Arial"/>
          <w:sz w:val="24"/>
        </w:rPr>
      </w:pPr>
    </w:p>
    <w:p w:rsidR="000D0DC5" w:rsidRDefault="006419C0" w:rsidP="00FB0C58">
      <w:pPr>
        <w:ind w:left="1134" w:hanging="1110"/>
        <w:rPr>
          <w:rFonts w:ascii="Arial" w:hAnsi="Arial"/>
          <w:sz w:val="24"/>
        </w:rPr>
      </w:pPr>
      <w:r>
        <w:rPr>
          <w:rFonts w:ascii="Arial" w:hAnsi="Arial"/>
          <w:sz w:val="24"/>
        </w:rPr>
        <w:t>2.</w:t>
      </w:r>
      <w:r w:rsidR="005C2354">
        <w:rPr>
          <w:rFonts w:ascii="Arial" w:hAnsi="Arial"/>
          <w:sz w:val="24"/>
        </w:rPr>
        <w:t>9</w:t>
      </w:r>
      <w:r w:rsidR="00FB0C58">
        <w:rPr>
          <w:rFonts w:ascii="Arial" w:hAnsi="Arial"/>
          <w:sz w:val="24"/>
        </w:rPr>
        <w:t xml:space="preserve">            Paragraph</w:t>
      </w:r>
      <w:r w:rsidR="00B60E76" w:rsidRPr="009A7EDF">
        <w:rPr>
          <w:rFonts w:ascii="Arial" w:hAnsi="Arial"/>
          <w:sz w:val="24"/>
        </w:rPr>
        <w:t xml:space="preserve"> </w:t>
      </w:r>
      <w:proofErr w:type="gramStart"/>
      <w:r w:rsidR="00B60E76" w:rsidRPr="009A7EDF">
        <w:rPr>
          <w:rFonts w:ascii="Arial" w:hAnsi="Arial"/>
          <w:sz w:val="24"/>
        </w:rPr>
        <w:t>2A(</w:t>
      </w:r>
      <w:proofErr w:type="gramEnd"/>
      <w:r w:rsidR="00B60E76" w:rsidRPr="009A7EDF">
        <w:rPr>
          <w:rFonts w:ascii="Arial" w:hAnsi="Arial"/>
          <w:sz w:val="24"/>
        </w:rPr>
        <w:t>3) of Schedule 3 sets out those premises that are not sexual</w:t>
      </w:r>
      <w:r w:rsidR="009A7EDF" w:rsidRPr="009A7EDF">
        <w:rPr>
          <w:rFonts w:ascii="Arial" w:hAnsi="Arial"/>
          <w:sz w:val="24"/>
        </w:rPr>
        <w:t xml:space="preserve"> </w:t>
      </w:r>
      <w:r w:rsidR="00B60E76" w:rsidRPr="009A7EDF">
        <w:rPr>
          <w:rFonts w:ascii="Arial" w:hAnsi="Arial"/>
          <w:sz w:val="24"/>
        </w:rPr>
        <w:t>entertainment venues. These are: sex shops and sex cinemas (which are separately</w:t>
      </w:r>
      <w:r w:rsidR="009A7EDF" w:rsidRPr="009A7EDF">
        <w:rPr>
          <w:rFonts w:ascii="Arial" w:hAnsi="Arial"/>
          <w:sz w:val="24"/>
        </w:rPr>
        <w:t xml:space="preserve"> </w:t>
      </w:r>
      <w:r w:rsidR="00B60E76" w:rsidRPr="009A7EDF">
        <w:rPr>
          <w:rFonts w:ascii="Arial" w:hAnsi="Arial"/>
          <w:sz w:val="24"/>
        </w:rPr>
        <w:t>defined in Schedule 3 to the 1982 Act); and premises which provide sexual</w:t>
      </w:r>
      <w:r w:rsidR="009A7EDF" w:rsidRPr="009A7EDF">
        <w:rPr>
          <w:rFonts w:ascii="Arial" w:hAnsi="Arial"/>
          <w:sz w:val="24"/>
        </w:rPr>
        <w:t xml:space="preserve"> </w:t>
      </w:r>
      <w:r w:rsidR="00B60E76" w:rsidRPr="009A7EDF">
        <w:rPr>
          <w:rFonts w:ascii="Arial" w:hAnsi="Arial"/>
          <w:sz w:val="24"/>
        </w:rPr>
        <w:t>entertainment on an infrequent basis (no more than 11 occasions within a 12 month</w:t>
      </w:r>
      <w:r w:rsidR="009A7EDF" w:rsidRPr="009A7EDF">
        <w:rPr>
          <w:rFonts w:ascii="Arial" w:hAnsi="Arial"/>
          <w:sz w:val="24"/>
        </w:rPr>
        <w:t xml:space="preserve"> </w:t>
      </w:r>
      <w:r w:rsidR="00B60E76" w:rsidRPr="009A7EDF">
        <w:rPr>
          <w:rFonts w:ascii="Arial" w:hAnsi="Arial"/>
          <w:sz w:val="24"/>
        </w:rPr>
        <w:t>period).</w:t>
      </w:r>
      <w:r w:rsidR="00894A85">
        <w:rPr>
          <w:rFonts w:ascii="Arial" w:hAnsi="Arial"/>
          <w:sz w:val="24"/>
        </w:rPr>
        <w:t xml:space="preserve">  </w:t>
      </w:r>
      <w:r w:rsidR="00B60E76" w:rsidRPr="009A7EDF">
        <w:rPr>
          <w:rFonts w:ascii="Arial" w:hAnsi="Arial"/>
          <w:sz w:val="24"/>
        </w:rPr>
        <w:t>Also, although the definition of relevant entertainment makes reference to a</w:t>
      </w:r>
      <w:r w:rsidR="009A7EDF" w:rsidRPr="009A7EDF">
        <w:rPr>
          <w:rFonts w:ascii="Arial" w:hAnsi="Arial"/>
          <w:sz w:val="24"/>
        </w:rPr>
        <w:t xml:space="preserve"> </w:t>
      </w:r>
      <w:r w:rsidR="00B60E76" w:rsidRPr="009A7EDF">
        <w:rPr>
          <w:rFonts w:ascii="Arial" w:hAnsi="Arial"/>
          <w:sz w:val="24"/>
        </w:rPr>
        <w:t>‘live display of nudity’, the mere fact that there is a display of nudity does not mean</w:t>
      </w:r>
      <w:r w:rsidR="009A7EDF" w:rsidRPr="009A7EDF">
        <w:rPr>
          <w:rFonts w:ascii="Arial" w:hAnsi="Arial"/>
          <w:sz w:val="24"/>
        </w:rPr>
        <w:t xml:space="preserve"> </w:t>
      </w:r>
      <w:r w:rsidR="00B60E76" w:rsidRPr="009A7EDF">
        <w:rPr>
          <w:rFonts w:ascii="Arial" w:hAnsi="Arial"/>
          <w:sz w:val="24"/>
        </w:rPr>
        <w:t xml:space="preserve">that a </w:t>
      </w:r>
      <w:r w:rsidR="001149D1">
        <w:rPr>
          <w:rFonts w:ascii="Arial" w:hAnsi="Arial"/>
          <w:sz w:val="24"/>
        </w:rPr>
        <w:t xml:space="preserve">‘Sexual Entertainment Venue’ licence </w:t>
      </w:r>
      <w:r w:rsidR="00B60E76" w:rsidRPr="009A7EDF">
        <w:rPr>
          <w:rFonts w:ascii="Arial" w:hAnsi="Arial"/>
          <w:sz w:val="24"/>
        </w:rPr>
        <w:t>will necessarily be required. For example, if the</w:t>
      </w:r>
      <w:r w:rsidR="009A7EDF" w:rsidRPr="009A7EDF">
        <w:rPr>
          <w:rFonts w:ascii="Arial" w:hAnsi="Arial"/>
          <w:sz w:val="24"/>
        </w:rPr>
        <w:t xml:space="preserve"> </w:t>
      </w:r>
      <w:r w:rsidR="00B60E76" w:rsidRPr="009A7EDF">
        <w:rPr>
          <w:rFonts w:ascii="Arial" w:hAnsi="Arial"/>
          <w:sz w:val="24"/>
        </w:rPr>
        <w:t>display forms part of a drama performance in a theatre, in most cases it cannot</w:t>
      </w:r>
      <w:r w:rsidR="009A7EDF" w:rsidRPr="009A7EDF">
        <w:rPr>
          <w:rFonts w:ascii="Arial" w:hAnsi="Arial"/>
          <w:sz w:val="24"/>
        </w:rPr>
        <w:t xml:space="preserve"> </w:t>
      </w:r>
      <w:r w:rsidR="00B60E76" w:rsidRPr="009A7EDF">
        <w:rPr>
          <w:rFonts w:ascii="Arial" w:hAnsi="Arial"/>
          <w:sz w:val="24"/>
        </w:rPr>
        <w:t>reasonably be assumed to be provided solely or principally for the purpose of</w:t>
      </w:r>
      <w:r w:rsidR="009A7EDF" w:rsidRPr="009A7EDF">
        <w:rPr>
          <w:rFonts w:ascii="Arial" w:hAnsi="Arial"/>
          <w:sz w:val="24"/>
        </w:rPr>
        <w:t xml:space="preserve"> </w:t>
      </w:r>
      <w:r w:rsidR="00B60E76" w:rsidRPr="009A7EDF">
        <w:rPr>
          <w:rFonts w:ascii="Arial" w:hAnsi="Arial"/>
          <w:sz w:val="24"/>
        </w:rPr>
        <w:t xml:space="preserve">sexually stimulating any member of the audience. </w:t>
      </w:r>
      <w:r w:rsidR="00894A85">
        <w:rPr>
          <w:rFonts w:ascii="Arial" w:hAnsi="Arial"/>
          <w:sz w:val="24"/>
        </w:rPr>
        <w:t xml:space="preserve"> In addition</w:t>
      </w:r>
      <w:r w:rsidR="00B60E76" w:rsidRPr="009A7EDF">
        <w:rPr>
          <w:rFonts w:ascii="Arial" w:hAnsi="Arial"/>
          <w:sz w:val="24"/>
        </w:rPr>
        <w:t>, spontaneous displays of</w:t>
      </w:r>
      <w:r w:rsidR="009A7EDF" w:rsidRPr="009A7EDF">
        <w:rPr>
          <w:rFonts w:ascii="Arial" w:hAnsi="Arial"/>
          <w:sz w:val="24"/>
        </w:rPr>
        <w:t xml:space="preserve"> </w:t>
      </w:r>
      <w:r w:rsidR="00B60E76" w:rsidRPr="009A7EDF">
        <w:rPr>
          <w:rFonts w:ascii="Arial" w:hAnsi="Arial"/>
          <w:sz w:val="24"/>
        </w:rPr>
        <w:t>nudity which are not provided for the financial gain of the organiser or entertainer,</w:t>
      </w:r>
      <w:r w:rsidR="009A7EDF" w:rsidRPr="009A7EDF">
        <w:rPr>
          <w:rFonts w:ascii="Arial" w:hAnsi="Arial"/>
          <w:sz w:val="24"/>
        </w:rPr>
        <w:t xml:space="preserve"> </w:t>
      </w:r>
      <w:r w:rsidR="00B60E76" w:rsidRPr="009A7EDF">
        <w:rPr>
          <w:rFonts w:ascii="Arial" w:hAnsi="Arial"/>
          <w:sz w:val="24"/>
        </w:rPr>
        <w:t>such as a spontaneous display of nudity by a customer or guest, do not fall within the</w:t>
      </w:r>
      <w:r w:rsidR="009A7EDF" w:rsidRPr="009A7EDF">
        <w:rPr>
          <w:rFonts w:ascii="Arial" w:hAnsi="Arial"/>
          <w:sz w:val="24"/>
        </w:rPr>
        <w:t xml:space="preserve"> </w:t>
      </w:r>
      <w:r w:rsidR="00B60E76" w:rsidRPr="009A7EDF">
        <w:rPr>
          <w:rFonts w:ascii="Arial" w:hAnsi="Arial"/>
          <w:sz w:val="24"/>
        </w:rPr>
        <w:t>definition of a sexual entertainment venue.</w:t>
      </w:r>
    </w:p>
    <w:p w:rsidR="00C96375" w:rsidRDefault="00C96375" w:rsidP="00FB0C58">
      <w:pPr>
        <w:ind w:left="1134" w:hanging="1110"/>
        <w:rPr>
          <w:rFonts w:ascii="Arial" w:hAnsi="Arial"/>
          <w:sz w:val="24"/>
        </w:rPr>
      </w:pPr>
    </w:p>
    <w:p w:rsidR="00C96375" w:rsidRDefault="00C96375" w:rsidP="00FB0C58">
      <w:pPr>
        <w:ind w:left="1134" w:hanging="1110"/>
        <w:rPr>
          <w:rFonts w:ascii="Arial" w:hAnsi="Arial"/>
          <w:sz w:val="24"/>
        </w:rPr>
      </w:pPr>
      <w:r>
        <w:rPr>
          <w:rFonts w:ascii="Arial" w:hAnsi="Arial"/>
          <w:b/>
          <w:sz w:val="24"/>
        </w:rPr>
        <w:t>3</w:t>
      </w:r>
      <w:r>
        <w:rPr>
          <w:rFonts w:ascii="Arial" w:hAnsi="Arial"/>
          <w:b/>
          <w:sz w:val="24"/>
        </w:rPr>
        <w:tab/>
        <w:t>Transitional Period</w:t>
      </w:r>
    </w:p>
    <w:p w:rsidR="00C96375" w:rsidRDefault="00C96375" w:rsidP="00FB0C58">
      <w:pPr>
        <w:ind w:left="1134" w:hanging="1110"/>
        <w:rPr>
          <w:rFonts w:ascii="Arial" w:hAnsi="Arial"/>
          <w:sz w:val="24"/>
        </w:rPr>
      </w:pPr>
    </w:p>
    <w:p w:rsidR="00C96375" w:rsidRDefault="00C96375" w:rsidP="00FB0C58">
      <w:pPr>
        <w:ind w:left="1134" w:hanging="1110"/>
        <w:rPr>
          <w:rFonts w:ascii="Arial" w:hAnsi="Arial"/>
          <w:sz w:val="24"/>
        </w:rPr>
      </w:pPr>
      <w:r>
        <w:rPr>
          <w:rFonts w:ascii="Arial" w:hAnsi="Arial"/>
          <w:sz w:val="24"/>
        </w:rPr>
        <w:t>3.1</w:t>
      </w:r>
      <w:r>
        <w:rPr>
          <w:rFonts w:ascii="Arial" w:hAnsi="Arial"/>
          <w:sz w:val="24"/>
        </w:rPr>
        <w:tab/>
        <w:t>Existing operators who hold a premises licence or club premises certificate under the Licensing Act 2003 will not be given preferential treatment or be automatically granted licences under the new provisions.  However, they may continue to operate over a 12 month transitional period starting from when the new provisions are adopted.  This will give existing operators a period of grace to adapt to the new legislation.</w:t>
      </w:r>
    </w:p>
    <w:p w:rsidR="00C96375" w:rsidRDefault="00C96375" w:rsidP="00FB0C58">
      <w:pPr>
        <w:ind w:left="1134" w:hanging="1110"/>
        <w:rPr>
          <w:rFonts w:ascii="Arial" w:hAnsi="Arial"/>
          <w:sz w:val="24"/>
        </w:rPr>
      </w:pPr>
    </w:p>
    <w:p w:rsidR="00C96375" w:rsidRDefault="00C96375" w:rsidP="00FB0C58">
      <w:pPr>
        <w:ind w:left="1134" w:hanging="1110"/>
        <w:rPr>
          <w:rFonts w:ascii="Arial" w:hAnsi="Arial"/>
          <w:sz w:val="24"/>
        </w:rPr>
      </w:pPr>
      <w:r>
        <w:rPr>
          <w:rFonts w:ascii="Arial" w:hAnsi="Arial"/>
          <w:sz w:val="24"/>
        </w:rPr>
        <w:t>3.2</w:t>
      </w:r>
      <w:r>
        <w:rPr>
          <w:rFonts w:ascii="Arial" w:hAnsi="Arial"/>
          <w:sz w:val="24"/>
        </w:rPr>
        <w:tab/>
        <w:t xml:space="preserve">During the first 6 months of the transitional period existing and new operators can apply for a licence.  At the end of this period the licensing </w:t>
      </w:r>
      <w:r w:rsidR="001A7457">
        <w:rPr>
          <w:rFonts w:ascii="Arial" w:hAnsi="Arial"/>
          <w:sz w:val="24"/>
        </w:rPr>
        <w:t>authority</w:t>
      </w:r>
      <w:r>
        <w:rPr>
          <w:rFonts w:ascii="Arial" w:hAnsi="Arial"/>
          <w:sz w:val="24"/>
        </w:rPr>
        <w:t xml:space="preserve"> must consider all applications together and cannot grant any until all have been considered.  The number of licences granted may be limited by Council policy therefore it would be unfair to consider on a first come first served basis.  After the fist six months licences may still be applied for and each application will be considered on its merits in accordance with Council policy.</w:t>
      </w:r>
    </w:p>
    <w:p w:rsidR="00C96375" w:rsidRDefault="00C96375" w:rsidP="00FB0C58">
      <w:pPr>
        <w:ind w:left="1134" w:hanging="1110"/>
        <w:rPr>
          <w:rFonts w:ascii="Arial" w:hAnsi="Arial"/>
          <w:sz w:val="24"/>
        </w:rPr>
      </w:pPr>
    </w:p>
    <w:p w:rsidR="00C96375" w:rsidRDefault="00C96375" w:rsidP="00FB0C58">
      <w:pPr>
        <w:ind w:left="1134" w:hanging="1110"/>
        <w:rPr>
          <w:rFonts w:ascii="Arial" w:hAnsi="Arial"/>
          <w:sz w:val="24"/>
        </w:rPr>
      </w:pPr>
      <w:r>
        <w:rPr>
          <w:rFonts w:ascii="Arial" w:hAnsi="Arial"/>
          <w:sz w:val="24"/>
        </w:rPr>
        <w:lastRenderedPageBreak/>
        <w:t>3.3</w:t>
      </w:r>
      <w:r>
        <w:rPr>
          <w:rFonts w:ascii="Arial" w:hAnsi="Arial"/>
          <w:sz w:val="24"/>
        </w:rPr>
        <w:tab/>
        <w:t>Any conditions on an existing premises lice</w:t>
      </w:r>
      <w:r w:rsidR="005C2354">
        <w:rPr>
          <w:rFonts w:ascii="Arial" w:hAnsi="Arial"/>
          <w:sz w:val="24"/>
        </w:rPr>
        <w:t xml:space="preserve">nce under the Licensing Act 2003 </w:t>
      </w:r>
      <w:r>
        <w:rPr>
          <w:rFonts w:ascii="Arial" w:hAnsi="Arial"/>
          <w:sz w:val="24"/>
        </w:rPr>
        <w:t xml:space="preserve">which relates exclusively to sexual entertainment will be deemed to have been deleted from the premises licence at the end of the 12 month transitional period.  Basically the conditions appearing on the licence will have no force.  The Government suggests that operators may want to apply for a ‘minor </w:t>
      </w:r>
      <w:r w:rsidR="001A7457">
        <w:rPr>
          <w:rFonts w:ascii="Arial" w:hAnsi="Arial"/>
          <w:sz w:val="24"/>
        </w:rPr>
        <w:t>variation</w:t>
      </w:r>
      <w:r>
        <w:rPr>
          <w:rFonts w:ascii="Arial" w:hAnsi="Arial"/>
          <w:sz w:val="24"/>
        </w:rPr>
        <w:t>’ to remove these redundant conditions to avoid confusion.  Any sexual entertainment will be regulated by the conditions placed upon their new sexua</w:t>
      </w:r>
      <w:r w:rsidR="00995AEA">
        <w:rPr>
          <w:rFonts w:ascii="Arial" w:hAnsi="Arial"/>
          <w:sz w:val="24"/>
        </w:rPr>
        <w:t xml:space="preserve">l entertainment venue licence. </w:t>
      </w:r>
    </w:p>
    <w:p w:rsidR="00995AEA" w:rsidRDefault="00995AEA" w:rsidP="00FB0C58">
      <w:pPr>
        <w:ind w:left="1134" w:hanging="1110"/>
        <w:rPr>
          <w:rFonts w:ascii="Arial" w:hAnsi="Arial"/>
          <w:sz w:val="24"/>
        </w:rPr>
      </w:pPr>
    </w:p>
    <w:p w:rsidR="00995AEA" w:rsidRPr="00995AEA" w:rsidRDefault="006419C0" w:rsidP="006419C0">
      <w:pPr>
        <w:ind w:left="1134" w:hanging="1134"/>
        <w:rPr>
          <w:rFonts w:ascii="Arial" w:hAnsi="Arial"/>
          <w:b/>
          <w:sz w:val="24"/>
        </w:rPr>
      </w:pPr>
      <w:r>
        <w:rPr>
          <w:rFonts w:ascii="Arial" w:hAnsi="Arial"/>
          <w:b/>
          <w:sz w:val="24"/>
        </w:rPr>
        <w:t>4</w:t>
      </w:r>
      <w:r w:rsidR="00995AEA">
        <w:rPr>
          <w:rFonts w:ascii="Arial" w:hAnsi="Arial"/>
          <w:sz w:val="24"/>
        </w:rPr>
        <w:t xml:space="preserve">      </w:t>
      </w:r>
      <w:r>
        <w:rPr>
          <w:rFonts w:ascii="Arial" w:hAnsi="Arial"/>
          <w:sz w:val="24"/>
        </w:rPr>
        <w:t xml:space="preserve">         </w:t>
      </w:r>
      <w:r w:rsidR="00995AEA" w:rsidRPr="00995AEA">
        <w:rPr>
          <w:rFonts w:ascii="Arial" w:hAnsi="Arial"/>
          <w:b/>
          <w:sz w:val="24"/>
        </w:rPr>
        <w:t>Legal Considerations</w:t>
      </w:r>
    </w:p>
    <w:p w:rsidR="00995AEA" w:rsidRDefault="00995AEA" w:rsidP="00995AEA">
      <w:pPr>
        <w:rPr>
          <w:rFonts w:ascii="Arial" w:hAnsi="Arial"/>
          <w:sz w:val="24"/>
        </w:rPr>
      </w:pPr>
    </w:p>
    <w:p w:rsidR="00995AEA" w:rsidRDefault="006419C0" w:rsidP="00995AEA">
      <w:pPr>
        <w:ind w:left="1110" w:hanging="1110"/>
        <w:rPr>
          <w:rFonts w:ascii="Arial" w:hAnsi="Arial"/>
          <w:sz w:val="24"/>
        </w:rPr>
      </w:pPr>
      <w:r>
        <w:rPr>
          <w:rFonts w:ascii="Arial" w:hAnsi="Arial"/>
          <w:sz w:val="24"/>
        </w:rPr>
        <w:t>4</w:t>
      </w:r>
      <w:r w:rsidR="00995AEA">
        <w:rPr>
          <w:rFonts w:ascii="Arial" w:hAnsi="Arial"/>
          <w:sz w:val="24"/>
        </w:rPr>
        <w:t>.1</w:t>
      </w:r>
      <w:r w:rsidR="00995AEA">
        <w:rPr>
          <w:rFonts w:ascii="Arial" w:hAnsi="Arial"/>
          <w:sz w:val="24"/>
        </w:rPr>
        <w:tab/>
        <w:t>The City Council adopted Schedule 3 of the Local Government (Miscellaneous Provisions) Act 1982 on 7 February 1989.</w:t>
      </w:r>
    </w:p>
    <w:p w:rsidR="00995AEA" w:rsidRDefault="00995AEA" w:rsidP="00995AEA">
      <w:pPr>
        <w:ind w:left="1110" w:hanging="1110"/>
        <w:rPr>
          <w:rFonts w:ascii="Arial" w:hAnsi="Arial"/>
          <w:sz w:val="24"/>
        </w:rPr>
      </w:pPr>
    </w:p>
    <w:p w:rsidR="00995AEA" w:rsidRDefault="006419C0" w:rsidP="00995AEA">
      <w:pPr>
        <w:ind w:left="1110" w:hanging="1110"/>
        <w:rPr>
          <w:rFonts w:ascii="Arial" w:hAnsi="Arial"/>
          <w:sz w:val="24"/>
        </w:rPr>
      </w:pPr>
      <w:r>
        <w:rPr>
          <w:rFonts w:ascii="Arial" w:hAnsi="Arial"/>
          <w:sz w:val="24"/>
        </w:rPr>
        <w:t>4</w:t>
      </w:r>
      <w:r w:rsidR="00995AEA">
        <w:rPr>
          <w:rFonts w:ascii="Arial" w:hAnsi="Arial"/>
          <w:sz w:val="24"/>
        </w:rPr>
        <w:t>,2</w:t>
      </w:r>
      <w:r w:rsidR="00995AEA">
        <w:rPr>
          <w:rFonts w:ascii="Arial" w:hAnsi="Arial"/>
          <w:sz w:val="24"/>
        </w:rPr>
        <w:tab/>
        <w:t xml:space="preserve">As a </w:t>
      </w:r>
      <w:r w:rsidR="009302E8">
        <w:rPr>
          <w:rFonts w:ascii="Arial" w:hAnsi="Arial"/>
          <w:sz w:val="24"/>
        </w:rPr>
        <w:t>consequence</w:t>
      </w:r>
      <w:r w:rsidR="00995AEA">
        <w:rPr>
          <w:rFonts w:ascii="Arial" w:hAnsi="Arial"/>
          <w:sz w:val="24"/>
        </w:rPr>
        <w:t xml:space="preserve"> of section 27 of the Policing and Crime Act 2009, </w:t>
      </w:r>
      <w:r w:rsidR="009302E8">
        <w:rPr>
          <w:rFonts w:ascii="Arial" w:hAnsi="Arial"/>
          <w:sz w:val="24"/>
        </w:rPr>
        <w:t xml:space="preserve">if the </w:t>
      </w:r>
      <w:r w:rsidR="00995AEA">
        <w:rPr>
          <w:rFonts w:ascii="Arial" w:hAnsi="Arial"/>
          <w:sz w:val="24"/>
        </w:rPr>
        <w:t xml:space="preserve">City Council </w:t>
      </w:r>
      <w:r w:rsidR="009302E8">
        <w:rPr>
          <w:rFonts w:ascii="Arial" w:hAnsi="Arial"/>
          <w:sz w:val="24"/>
        </w:rPr>
        <w:t>decide</w:t>
      </w:r>
      <w:r w:rsidR="004502F0">
        <w:rPr>
          <w:rFonts w:ascii="Arial" w:hAnsi="Arial"/>
          <w:sz w:val="24"/>
        </w:rPr>
        <w:t>s to licens</w:t>
      </w:r>
      <w:r w:rsidR="009302E8">
        <w:rPr>
          <w:rFonts w:ascii="Arial" w:hAnsi="Arial"/>
          <w:sz w:val="24"/>
        </w:rPr>
        <w:t xml:space="preserve">e these entertainment premises, </w:t>
      </w:r>
      <w:r w:rsidR="004502F0">
        <w:rPr>
          <w:rFonts w:ascii="Arial" w:hAnsi="Arial"/>
          <w:sz w:val="24"/>
        </w:rPr>
        <w:t>it</w:t>
      </w:r>
      <w:r w:rsidR="009302E8">
        <w:rPr>
          <w:rFonts w:ascii="Arial" w:hAnsi="Arial"/>
          <w:sz w:val="24"/>
        </w:rPr>
        <w:t xml:space="preserve"> must pass a resolution</w:t>
      </w:r>
      <w:r w:rsidR="00995AEA">
        <w:rPr>
          <w:rFonts w:ascii="Arial" w:hAnsi="Arial"/>
          <w:sz w:val="24"/>
        </w:rPr>
        <w:t xml:space="preserve"> to adopt the variation.</w:t>
      </w:r>
    </w:p>
    <w:p w:rsidR="00995AEA" w:rsidRDefault="00995AEA" w:rsidP="00995AEA">
      <w:pPr>
        <w:ind w:left="1110" w:hanging="1110"/>
        <w:rPr>
          <w:rFonts w:ascii="Arial" w:hAnsi="Arial"/>
          <w:sz w:val="24"/>
        </w:rPr>
      </w:pPr>
    </w:p>
    <w:p w:rsidR="00995AEA" w:rsidRPr="00C96375" w:rsidRDefault="006419C0" w:rsidP="00C676AD">
      <w:pPr>
        <w:ind w:left="1110" w:hanging="1110"/>
        <w:rPr>
          <w:rFonts w:ascii="Arial" w:hAnsi="Arial"/>
          <w:sz w:val="24"/>
        </w:rPr>
      </w:pPr>
      <w:r>
        <w:rPr>
          <w:rFonts w:ascii="Arial" w:hAnsi="Arial"/>
          <w:sz w:val="24"/>
        </w:rPr>
        <w:t>4</w:t>
      </w:r>
      <w:r w:rsidR="00995AEA">
        <w:rPr>
          <w:rFonts w:ascii="Arial" w:hAnsi="Arial"/>
          <w:sz w:val="24"/>
        </w:rPr>
        <w:t>.3</w:t>
      </w:r>
      <w:r w:rsidR="00995AEA">
        <w:rPr>
          <w:rFonts w:ascii="Arial" w:hAnsi="Arial"/>
          <w:sz w:val="24"/>
        </w:rPr>
        <w:tab/>
        <w:t>The Constitution of the Council of the City of Carlisle delegates</w:t>
      </w:r>
      <w:r w:rsidR="00C676AD">
        <w:rPr>
          <w:rFonts w:ascii="Arial" w:hAnsi="Arial"/>
          <w:sz w:val="24"/>
        </w:rPr>
        <w:t xml:space="preserve"> responsibility for licensing functions (with the exception of the Licensing Act 2003 and the Gambling Act 2005) to the Regulatory Panel, including the provisions of Schedule 3 of the Local Government (Miscellaneous Provisions) Act 1982.  To avoid uncertainty, it should be noted that the amendment brought about by section 27 of the Policing and Crime Act 2009, is also included in this delegation.</w:t>
      </w:r>
    </w:p>
    <w:p w:rsidR="000D0DC5" w:rsidRDefault="000D0DC5">
      <w:pPr>
        <w:rPr>
          <w:rFonts w:ascii="Arial" w:hAnsi="Arial"/>
          <w:sz w:val="24"/>
        </w:rPr>
      </w:pPr>
    </w:p>
    <w:p w:rsidR="000D0DC5" w:rsidRPr="00995AEA" w:rsidRDefault="006419C0">
      <w:pPr>
        <w:pStyle w:val="Heading1"/>
      </w:pPr>
      <w:r>
        <w:t>5</w:t>
      </w:r>
      <w:r w:rsidR="00995AEA" w:rsidRPr="00995AEA">
        <w:tab/>
        <w:t xml:space="preserve">       Recommendation</w:t>
      </w:r>
    </w:p>
    <w:p w:rsidR="005C2354" w:rsidRDefault="005C2354" w:rsidP="005C2354">
      <w:pPr>
        <w:rPr>
          <w:rFonts w:ascii="Arial" w:hAnsi="Arial"/>
          <w:sz w:val="16"/>
        </w:rPr>
      </w:pPr>
    </w:p>
    <w:p w:rsidR="005C2354" w:rsidRDefault="005C2354" w:rsidP="005C2354">
      <w:pPr>
        <w:spacing w:line="300" w:lineRule="auto"/>
        <w:ind w:left="1134" w:hanging="1134"/>
        <w:rPr>
          <w:rFonts w:ascii="Arial" w:hAnsi="Arial"/>
          <w:sz w:val="24"/>
        </w:rPr>
      </w:pPr>
      <w:r>
        <w:rPr>
          <w:rFonts w:ascii="Arial" w:hAnsi="Arial"/>
          <w:sz w:val="24"/>
        </w:rPr>
        <w:t>5.1</w:t>
      </w:r>
      <w:r>
        <w:rPr>
          <w:rFonts w:ascii="Arial" w:hAnsi="Arial"/>
          <w:sz w:val="24"/>
        </w:rPr>
        <w:tab/>
        <w:t>To adopt the provisions in Schedule3 of the Local Government (Miscellaneous Provisions) Act 1982 as amended by section 27 Policing and Crime Act 2009 in relation to the administrative area of Carlisle.</w:t>
      </w:r>
    </w:p>
    <w:p w:rsidR="005C2354" w:rsidRDefault="005C2354" w:rsidP="005C2354">
      <w:pPr>
        <w:spacing w:line="300" w:lineRule="auto"/>
        <w:ind w:left="1134" w:hanging="1134"/>
        <w:rPr>
          <w:rFonts w:ascii="Arial" w:hAnsi="Arial"/>
          <w:sz w:val="24"/>
        </w:rPr>
      </w:pPr>
    </w:p>
    <w:p w:rsidR="005C2354" w:rsidRDefault="005C2354" w:rsidP="005C2354">
      <w:pPr>
        <w:spacing w:line="300" w:lineRule="auto"/>
        <w:ind w:left="1134" w:hanging="1134"/>
        <w:rPr>
          <w:rFonts w:ascii="Arial" w:hAnsi="Arial"/>
          <w:sz w:val="24"/>
        </w:rPr>
      </w:pPr>
      <w:r>
        <w:rPr>
          <w:rFonts w:ascii="Arial" w:hAnsi="Arial"/>
          <w:sz w:val="24"/>
        </w:rPr>
        <w:t>5.2</w:t>
      </w:r>
      <w:r>
        <w:rPr>
          <w:rFonts w:ascii="Arial" w:hAnsi="Arial"/>
          <w:sz w:val="24"/>
        </w:rPr>
        <w:tab/>
        <w:t>To refer the above to the City Council for adoption.</w:t>
      </w:r>
    </w:p>
    <w:p w:rsidR="005C2354" w:rsidRDefault="005C2354" w:rsidP="005C2354">
      <w:pPr>
        <w:spacing w:line="300" w:lineRule="auto"/>
        <w:ind w:left="1134" w:hanging="1134"/>
        <w:rPr>
          <w:rFonts w:ascii="Arial" w:hAnsi="Arial"/>
          <w:sz w:val="24"/>
        </w:rPr>
      </w:pPr>
    </w:p>
    <w:p w:rsidR="005C2354" w:rsidRDefault="005C2354" w:rsidP="005C2354">
      <w:pPr>
        <w:spacing w:line="300" w:lineRule="auto"/>
        <w:ind w:left="1134" w:hanging="1134"/>
        <w:rPr>
          <w:rFonts w:ascii="Arial" w:hAnsi="Arial"/>
          <w:sz w:val="24"/>
        </w:rPr>
      </w:pPr>
      <w:r>
        <w:rPr>
          <w:rFonts w:ascii="Arial" w:hAnsi="Arial"/>
          <w:sz w:val="24"/>
        </w:rPr>
        <w:t>5.3</w:t>
      </w:r>
      <w:r>
        <w:rPr>
          <w:rFonts w:ascii="Arial" w:hAnsi="Arial"/>
          <w:sz w:val="24"/>
        </w:rPr>
        <w:tab/>
        <w:t>To recommend that the City Council makes the appropriate amendment to the Scheme of Delegation within the Constitution.</w:t>
      </w:r>
    </w:p>
    <w:p w:rsidR="005C2354" w:rsidRPr="00CF2C76" w:rsidRDefault="005C2354" w:rsidP="005C2354">
      <w:pPr>
        <w:spacing w:line="300" w:lineRule="auto"/>
        <w:rPr>
          <w:rFonts w:ascii="Arial" w:hAnsi="Arial"/>
          <w:sz w:val="24"/>
        </w:rPr>
      </w:pPr>
    </w:p>
    <w:p w:rsidR="000D0DC5" w:rsidRDefault="000D0DC5">
      <w:pPr>
        <w:ind w:left="426" w:hanging="426"/>
        <w:rPr>
          <w:rFonts w:ascii="Arial" w:hAnsi="Arial"/>
          <w:sz w:val="24"/>
        </w:rPr>
      </w:pPr>
    </w:p>
    <w:p w:rsidR="000D0DC5" w:rsidRDefault="000D0DC5">
      <w:pPr>
        <w:rPr>
          <w:rFonts w:ascii="Arial" w:hAnsi="Arial"/>
          <w:sz w:val="24"/>
        </w:rPr>
      </w:pPr>
    </w:p>
    <w:p w:rsidR="000D0DC5" w:rsidRDefault="000D0DC5">
      <w:pPr>
        <w:rPr>
          <w:rFonts w:ascii="Arial" w:hAnsi="Arial"/>
          <w:sz w:val="24"/>
        </w:rPr>
      </w:pPr>
    </w:p>
    <w:p w:rsidR="006419C0" w:rsidRDefault="000D0DC5">
      <w:pPr>
        <w:rPr>
          <w:rFonts w:ascii="Arial" w:hAnsi="Arial"/>
          <w:sz w:val="24"/>
        </w:rPr>
      </w:pPr>
      <w:r>
        <w:rPr>
          <w:rFonts w:ascii="Arial" w:hAnsi="Arial"/>
          <w:sz w:val="24"/>
        </w:rPr>
        <w:t xml:space="preserve">Prepared by </w:t>
      </w:r>
    </w:p>
    <w:p w:rsidR="000D0DC5" w:rsidRDefault="000D0DC5">
      <w:pPr>
        <w:rPr>
          <w:rFonts w:ascii="Arial" w:hAnsi="Arial"/>
          <w:sz w:val="24"/>
        </w:rPr>
      </w:pPr>
      <w:r>
        <w:rPr>
          <w:rFonts w:ascii="Arial" w:hAnsi="Arial"/>
          <w:sz w:val="24"/>
        </w:rPr>
        <w:t>J A Messenger</w:t>
      </w:r>
    </w:p>
    <w:p w:rsidR="000D0DC5" w:rsidRDefault="000D0DC5">
      <w:pPr>
        <w:rPr>
          <w:rFonts w:ascii="Arial" w:hAnsi="Arial"/>
          <w:sz w:val="24"/>
        </w:rPr>
      </w:pPr>
      <w:r>
        <w:rPr>
          <w:rFonts w:ascii="Arial" w:hAnsi="Arial"/>
          <w:sz w:val="24"/>
        </w:rPr>
        <w:t>Licensing Manager</w:t>
      </w:r>
    </w:p>
    <w:sectPr w:rsidR="000D0DC5" w:rsidSect="00530A6C">
      <w:type w:val="continuous"/>
      <w:pgSz w:w="11906" w:h="16838"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38" w:rsidRDefault="00215638">
      <w:r>
        <w:separator/>
      </w:r>
    </w:p>
  </w:endnote>
  <w:endnote w:type="continuationSeparator" w:id="0">
    <w:p w:rsidR="00215638" w:rsidRDefault="0021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38" w:rsidRDefault="00215638">
      <w:r>
        <w:separator/>
      </w:r>
    </w:p>
  </w:footnote>
  <w:footnote w:type="continuationSeparator" w:id="0">
    <w:p w:rsidR="00215638" w:rsidRDefault="00215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9B"/>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C1A7F9A"/>
    <w:multiLevelType w:val="hybridMultilevel"/>
    <w:tmpl w:val="FC40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2D85"/>
    <w:multiLevelType w:val="singleLevel"/>
    <w:tmpl w:val="EAA2EBF4"/>
    <w:lvl w:ilvl="0">
      <w:start w:val="1"/>
      <w:numFmt w:val="lowerLetter"/>
      <w:lvlText w:val="%1)"/>
      <w:lvlJc w:val="left"/>
      <w:pPr>
        <w:tabs>
          <w:tab w:val="num" w:pos="1353"/>
        </w:tabs>
        <w:ind w:left="1353" w:hanging="360"/>
      </w:pPr>
      <w:rPr>
        <w:rFonts w:hint="default"/>
      </w:rPr>
    </w:lvl>
  </w:abstractNum>
  <w:abstractNum w:abstractNumId="3">
    <w:nsid w:val="0FA5596A"/>
    <w:multiLevelType w:val="multilevel"/>
    <w:tmpl w:val="AD88A9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8EF37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08F4ACF"/>
    <w:multiLevelType w:val="multilevel"/>
    <w:tmpl w:val="540810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2F719C"/>
    <w:multiLevelType w:val="singleLevel"/>
    <w:tmpl w:val="93D0FD44"/>
    <w:lvl w:ilvl="0">
      <w:start w:val="1"/>
      <w:numFmt w:val="decimal"/>
      <w:lvlText w:val="%1."/>
      <w:lvlJc w:val="left"/>
      <w:pPr>
        <w:tabs>
          <w:tab w:val="num" w:pos="720"/>
        </w:tabs>
        <w:ind w:left="720" w:hanging="720"/>
      </w:pPr>
      <w:rPr>
        <w:rFonts w:hint="default"/>
      </w:rPr>
    </w:lvl>
  </w:abstractNum>
  <w:abstractNum w:abstractNumId="7">
    <w:nsid w:val="23ED67B5"/>
    <w:multiLevelType w:val="hybridMultilevel"/>
    <w:tmpl w:val="CA1AE0C2"/>
    <w:lvl w:ilvl="0" w:tplc="08090001">
      <w:start w:val="1"/>
      <w:numFmt w:val="bullet"/>
      <w:lvlText w:val=""/>
      <w:lvlJc w:val="left"/>
      <w:pPr>
        <w:ind w:left="2832" w:hanging="360"/>
      </w:pPr>
      <w:rPr>
        <w:rFonts w:ascii="Symbol" w:hAnsi="Symbol" w:hint="default"/>
      </w:rPr>
    </w:lvl>
    <w:lvl w:ilvl="1" w:tplc="08090003" w:tentative="1">
      <w:start w:val="1"/>
      <w:numFmt w:val="bullet"/>
      <w:lvlText w:val="o"/>
      <w:lvlJc w:val="left"/>
      <w:pPr>
        <w:ind w:left="3552" w:hanging="360"/>
      </w:pPr>
      <w:rPr>
        <w:rFonts w:ascii="Courier New" w:hAnsi="Courier New" w:cs="Courier New" w:hint="default"/>
      </w:rPr>
    </w:lvl>
    <w:lvl w:ilvl="2" w:tplc="08090005" w:tentative="1">
      <w:start w:val="1"/>
      <w:numFmt w:val="bullet"/>
      <w:lvlText w:val=""/>
      <w:lvlJc w:val="left"/>
      <w:pPr>
        <w:ind w:left="4272" w:hanging="360"/>
      </w:pPr>
      <w:rPr>
        <w:rFonts w:ascii="Wingdings" w:hAnsi="Wingdings" w:hint="default"/>
      </w:rPr>
    </w:lvl>
    <w:lvl w:ilvl="3" w:tplc="08090001" w:tentative="1">
      <w:start w:val="1"/>
      <w:numFmt w:val="bullet"/>
      <w:lvlText w:val=""/>
      <w:lvlJc w:val="left"/>
      <w:pPr>
        <w:ind w:left="4992" w:hanging="360"/>
      </w:pPr>
      <w:rPr>
        <w:rFonts w:ascii="Symbol" w:hAnsi="Symbol" w:hint="default"/>
      </w:rPr>
    </w:lvl>
    <w:lvl w:ilvl="4" w:tplc="08090003" w:tentative="1">
      <w:start w:val="1"/>
      <w:numFmt w:val="bullet"/>
      <w:lvlText w:val="o"/>
      <w:lvlJc w:val="left"/>
      <w:pPr>
        <w:ind w:left="5712" w:hanging="360"/>
      </w:pPr>
      <w:rPr>
        <w:rFonts w:ascii="Courier New" w:hAnsi="Courier New" w:cs="Courier New" w:hint="default"/>
      </w:rPr>
    </w:lvl>
    <w:lvl w:ilvl="5" w:tplc="08090005" w:tentative="1">
      <w:start w:val="1"/>
      <w:numFmt w:val="bullet"/>
      <w:lvlText w:val=""/>
      <w:lvlJc w:val="left"/>
      <w:pPr>
        <w:ind w:left="6432" w:hanging="360"/>
      </w:pPr>
      <w:rPr>
        <w:rFonts w:ascii="Wingdings" w:hAnsi="Wingdings" w:hint="default"/>
      </w:rPr>
    </w:lvl>
    <w:lvl w:ilvl="6" w:tplc="08090001" w:tentative="1">
      <w:start w:val="1"/>
      <w:numFmt w:val="bullet"/>
      <w:lvlText w:val=""/>
      <w:lvlJc w:val="left"/>
      <w:pPr>
        <w:ind w:left="7152" w:hanging="360"/>
      </w:pPr>
      <w:rPr>
        <w:rFonts w:ascii="Symbol" w:hAnsi="Symbol" w:hint="default"/>
      </w:rPr>
    </w:lvl>
    <w:lvl w:ilvl="7" w:tplc="08090003" w:tentative="1">
      <w:start w:val="1"/>
      <w:numFmt w:val="bullet"/>
      <w:lvlText w:val="o"/>
      <w:lvlJc w:val="left"/>
      <w:pPr>
        <w:ind w:left="7872" w:hanging="360"/>
      </w:pPr>
      <w:rPr>
        <w:rFonts w:ascii="Courier New" w:hAnsi="Courier New" w:cs="Courier New" w:hint="default"/>
      </w:rPr>
    </w:lvl>
    <w:lvl w:ilvl="8" w:tplc="08090005" w:tentative="1">
      <w:start w:val="1"/>
      <w:numFmt w:val="bullet"/>
      <w:lvlText w:val=""/>
      <w:lvlJc w:val="left"/>
      <w:pPr>
        <w:ind w:left="8592" w:hanging="360"/>
      </w:pPr>
      <w:rPr>
        <w:rFonts w:ascii="Wingdings" w:hAnsi="Wingdings" w:hint="default"/>
      </w:rPr>
    </w:lvl>
  </w:abstractNum>
  <w:abstractNum w:abstractNumId="8">
    <w:nsid w:val="24C67522"/>
    <w:multiLevelType w:val="multilevel"/>
    <w:tmpl w:val="DC02C3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F73D24"/>
    <w:multiLevelType w:val="multilevel"/>
    <w:tmpl w:val="BFBE790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E247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83A54F3"/>
    <w:multiLevelType w:val="singleLevel"/>
    <w:tmpl w:val="87FEAA1E"/>
    <w:lvl w:ilvl="0">
      <w:start w:val="1"/>
      <w:numFmt w:val="decimal"/>
      <w:lvlText w:val="(%1)"/>
      <w:lvlJc w:val="left"/>
      <w:pPr>
        <w:tabs>
          <w:tab w:val="num" w:pos="360"/>
        </w:tabs>
        <w:ind w:left="360" w:hanging="360"/>
      </w:pPr>
      <w:rPr>
        <w:rFonts w:hint="default"/>
      </w:rPr>
    </w:lvl>
  </w:abstractNum>
  <w:abstractNum w:abstractNumId="12">
    <w:nsid w:val="40FE0C4A"/>
    <w:multiLevelType w:val="multilevel"/>
    <w:tmpl w:val="3D82395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97C6D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1E036D"/>
    <w:multiLevelType w:val="singleLevel"/>
    <w:tmpl w:val="4420CFBA"/>
    <w:lvl w:ilvl="0">
      <w:start w:val="1"/>
      <w:numFmt w:val="lowerRoman"/>
      <w:lvlText w:val="%1)"/>
      <w:lvlJc w:val="left"/>
      <w:pPr>
        <w:tabs>
          <w:tab w:val="num" w:pos="2073"/>
        </w:tabs>
        <w:ind w:left="2073" w:hanging="720"/>
      </w:pPr>
      <w:rPr>
        <w:rFonts w:hint="default"/>
      </w:rPr>
    </w:lvl>
  </w:abstractNum>
  <w:abstractNum w:abstractNumId="15">
    <w:nsid w:val="62406E40"/>
    <w:multiLevelType w:val="singleLevel"/>
    <w:tmpl w:val="A508B714"/>
    <w:lvl w:ilvl="0">
      <w:start w:val="1"/>
      <w:numFmt w:val="lowerLetter"/>
      <w:lvlText w:val="%1)"/>
      <w:lvlJc w:val="left"/>
      <w:pPr>
        <w:tabs>
          <w:tab w:val="num" w:pos="1800"/>
        </w:tabs>
        <w:ind w:left="1800" w:hanging="360"/>
      </w:pPr>
      <w:rPr>
        <w:rFonts w:hint="default"/>
      </w:rPr>
    </w:lvl>
  </w:abstractNum>
  <w:abstractNum w:abstractNumId="16">
    <w:nsid w:val="67560D26"/>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68C052F8"/>
    <w:multiLevelType w:val="singleLevel"/>
    <w:tmpl w:val="91700440"/>
    <w:lvl w:ilvl="0">
      <w:start w:val="1"/>
      <w:numFmt w:val="lowerLetter"/>
      <w:lvlText w:val="%1)"/>
      <w:lvlJc w:val="left"/>
      <w:pPr>
        <w:tabs>
          <w:tab w:val="num" w:pos="720"/>
        </w:tabs>
        <w:ind w:left="720" w:hanging="360"/>
      </w:pPr>
      <w:rPr>
        <w:rFonts w:hint="default"/>
      </w:rPr>
    </w:lvl>
  </w:abstractNum>
  <w:abstractNum w:abstractNumId="18">
    <w:nsid w:val="6EC25EC9"/>
    <w:multiLevelType w:val="singleLevel"/>
    <w:tmpl w:val="1E109722"/>
    <w:lvl w:ilvl="0">
      <w:start w:val="1"/>
      <w:numFmt w:val="lowerLetter"/>
      <w:lvlText w:val="%1)"/>
      <w:lvlJc w:val="left"/>
      <w:pPr>
        <w:tabs>
          <w:tab w:val="num" w:pos="1494"/>
        </w:tabs>
        <w:ind w:left="1494" w:hanging="360"/>
      </w:pPr>
      <w:rPr>
        <w:rFonts w:hint="default"/>
      </w:rPr>
    </w:lvl>
  </w:abstractNum>
  <w:abstractNum w:abstractNumId="19">
    <w:nsid w:val="70653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5C97DB2"/>
    <w:multiLevelType w:val="multilevel"/>
    <w:tmpl w:val="D25CA92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C291734"/>
    <w:multiLevelType w:val="singleLevel"/>
    <w:tmpl w:val="9014C048"/>
    <w:lvl w:ilvl="0">
      <w:start w:val="1"/>
      <w:numFmt w:val="lowerLetter"/>
      <w:lvlText w:val="%1)"/>
      <w:lvlJc w:val="left"/>
      <w:pPr>
        <w:tabs>
          <w:tab w:val="num" w:pos="1365"/>
        </w:tabs>
        <w:ind w:left="1365" w:hanging="360"/>
      </w:pPr>
      <w:rPr>
        <w:rFonts w:hint="default"/>
      </w:rPr>
    </w:lvl>
  </w:abstractNum>
  <w:num w:numId="1">
    <w:abstractNumId w:val="11"/>
  </w:num>
  <w:num w:numId="2">
    <w:abstractNumId w:val="16"/>
  </w:num>
  <w:num w:numId="3">
    <w:abstractNumId w:val="19"/>
  </w:num>
  <w:num w:numId="4">
    <w:abstractNumId w:val="6"/>
  </w:num>
  <w:num w:numId="5">
    <w:abstractNumId w:val="0"/>
  </w:num>
  <w:num w:numId="6">
    <w:abstractNumId w:val="9"/>
  </w:num>
  <w:num w:numId="7">
    <w:abstractNumId w:val="12"/>
  </w:num>
  <w:num w:numId="8">
    <w:abstractNumId w:val="18"/>
  </w:num>
  <w:num w:numId="9">
    <w:abstractNumId w:val="15"/>
  </w:num>
  <w:num w:numId="10">
    <w:abstractNumId w:val="21"/>
  </w:num>
  <w:num w:numId="11">
    <w:abstractNumId w:val="2"/>
  </w:num>
  <w:num w:numId="12">
    <w:abstractNumId w:val="14"/>
  </w:num>
  <w:num w:numId="13">
    <w:abstractNumId w:val="4"/>
  </w:num>
  <w:num w:numId="14">
    <w:abstractNumId w:val="13"/>
  </w:num>
  <w:num w:numId="15">
    <w:abstractNumId w:val="10"/>
  </w:num>
  <w:num w:numId="16">
    <w:abstractNumId w:val="17"/>
  </w:num>
  <w:num w:numId="17">
    <w:abstractNumId w:val="3"/>
  </w:num>
  <w:num w:numId="18">
    <w:abstractNumId w:val="7"/>
  </w:num>
  <w:num w:numId="19">
    <w:abstractNumId w:val="8"/>
  </w:num>
  <w:num w:numId="20">
    <w:abstractNumId w:val="5"/>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A23"/>
    <w:rsid w:val="000A1BEA"/>
    <w:rsid w:val="000D0DC5"/>
    <w:rsid w:val="001149D1"/>
    <w:rsid w:val="001A7457"/>
    <w:rsid w:val="001C1524"/>
    <w:rsid w:val="00215638"/>
    <w:rsid w:val="00223228"/>
    <w:rsid w:val="002C6378"/>
    <w:rsid w:val="003626AF"/>
    <w:rsid w:val="003D4277"/>
    <w:rsid w:val="00400A02"/>
    <w:rsid w:val="004502F0"/>
    <w:rsid w:val="00483EF6"/>
    <w:rsid w:val="00484FF4"/>
    <w:rsid w:val="00530A6C"/>
    <w:rsid w:val="005C2354"/>
    <w:rsid w:val="006419C0"/>
    <w:rsid w:val="00703682"/>
    <w:rsid w:val="00770A6E"/>
    <w:rsid w:val="007A3C39"/>
    <w:rsid w:val="00831CA3"/>
    <w:rsid w:val="00867CCF"/>
    <w:rsid w:val="00894A85"/>
    <w:rsid w:val="00910A6A"/>
    <w:rsid w:val="009302E8"/>
    <w:rsid w:val="00972EE6"/>
    <w:rsid w:val="00995AEA"/>
    <w:rsid w:val="009A7EDF"/>
    <w:rsid w:val="00B60E76"/>
    <w:rsid w:val="00BF1A23"/>
    <w:rsid w:val="00C676AD"/>
    <w:rsid w:val="00C96375"/>
    <w:rsid w:val="00CF2C76"/>
    <w:rsid w:val="00ED0669"/>
    <w:rsid w:val="00FA4209"/>
    <w:rsid w:val="00FB0284"/>
    <w:rsid w:val="00FB0C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6C"/>
  </w:style>
  <w:style w:type="paragraph" w:styleId="Heading1">
    <w:name w:val="heading 1"/>
    <w:basedOn w:val="Normal"/>
    <w:next w:val="Normal"/>
    <w:qFormat/>
    <w:rsid w:val="00530A6C"/>
    <w:pPr>
      <w:keepNext/>
      <w:outlineLvl w:val="0"/>
    </w:pPr>
    <w:rPr>
      <w:rFonts w:ascii="Arial" w:hAnsi="Arial"/>
      <w:b/>
      <w:sz w:val="24"/>
    </w:rPr>
  </w:style>
  <w:style w:type="paragraph" w:styleId="Heading2">
    <w:name w:val="heading 2"/>
    <w:basedOn w:val="Normal"/>
    <w:next w:val="Normal"/>
    <w:qFormat/>
    <w:rsid w:val="00530A6C"/>
    <w:pPr>
      <w:keepNext/>
      <w:outlineLvl w:val="1"/>
    </w:pPr>
    <w:rPr>
      <w:rFonts w:ascii="Arial" w:hAnsi="Arial"/>
      <w:b/>
      <w:sz w:val="22"/>
      <w:u w:val="single"/>
    </w:rPr>
  </w:style>
  <w:style w:type="paragraph" w:styleId="Heading3">
    <w:name w:val="heading 3"/>
    <w:basedOn w:val="Normal"/>
    <w:next w:val="Normal"/>
    <w:qFormat/>
    <w:rsid w:val="00530A6C"/>
    <w:pPr>
      <w:keepNext/>
      <w:tabs>
        <w:tab w:val="left" w:pos="3969"/>
      </w:tabs>
      <w:ind w:left="709"/>
      <w:outlineLvl w:val="2"/>
    </w:pPr>
    <w:rPr>
      <w:rFonts w:ascii="Arial" w:hAnsi="Arial"/>
      <w:sz w:val="24"/>
    </w:rPr>
  </w:style>
  <w:style w:type="paragraph" w:styleId="Heading4">
    <w:name w:val="heading 4"/>
    <w:basedOn w:val="Normal"/>
    <w:next w:val="Normal"/>
    <w:qFormat/>
    <w:rsid w:val="00530A6C"/>
    <w:pPr>
      <w:keepNext/>
      <w:ind w:left="720" w:hanging="720"/>
      <w:outlineLvl w:val="3"/>
    </w:pPr>
    <w:rPr>
      <w:rFonts w:ascii="Arial" w:hAnsi="Arial"/>
      <w:b/>
      <w:sz w:val="24"/>
    </w:rPr>
  </w:style>
  <w:style w:type="paragraph" w:styleId="Heading5">
    <w:name w:val="heading 5"/>
    <w:basedOn w:val="Normal"/>
    <w:next w:val="Normal"/>
    <w:qFormat/>
    <w:rsid w:val="00530A6C"/>
    <w:pPr>
      <w:keepNext/>
      <w:spacing w:before="25" w:after="120"/>
      <w:jc w:val="center"/>
      <w:outlineLvl w:val="4"/>
    </w:pPr>
    <w:rPr>
      <w:rFonts w:ascii="Tahoma" w:hAnsi="Tahoma"/>
      <w:sz w:val="24"/>
    </w:rPr>
  </w:style>
  <w:style w:type="paragraph" w:styleId="Heading6">
    <w:name w:val="heading 6"/>
    <w:basedOn w:val="Normal"/>
    <w:next w:val="Normal"/>
    <w:qFormat/>
    <w:rsid w:val="00530A6C"/>
    <w:pPr>
      <w:keepNext/>
      <w:spacing w:before="25" w:after="120"/>
      <w:outlineLvl w:val="5"/>
    </w:pPr>
    <w:rPr>
      <w:rFonts w:ascii="Tahoma" w:hAnsi="Tahoma"/>
      <w:b/>
    </w:rPr>
  </w:style>
  <w:style w:type="paragraph" w:styleId="Heading7">
    <w:name w:val="heading 7"/>
    <w:basedOn w:val="Normal"/>
    <w:next w:val="Normal"/>
    <w:qFormat/>
    <w:rsid w:val="00530A6C"/>
    <w:pPr>
      <w:keepNext/>
      <w:spacing w:before="25" w:after="120"/>
      <w:outlineLvl w:val="6"/>
    </w:pPr>
    <w:rPr>
      <w:rFonts w:ascii="Arial" w:hAnsi="Arial"/>
      <w:b/>
      <w:sz w:val="24"/>
    </w:rPr>
  </w:style>
  <w:style w:type="paragraph" w:styleId="Heading8">
    <w:name w:val="heading 8"/>
    <w:basedOn w:val="Normal"/>
    <w:next w:val="Normal"/>
    <w:qFormat/>
    <w:rsid w:val="00530A6C"/>
    <w:pPr>
      <w:keepNext/>
      <w:spacing w:before="360" w:line="300" w:lineRule="auto"/>
      <w:outlineLvl w:val="7"/>
    </w:pPr>
    <w:rPr>
      <w:rFonts w:ascii="Tahoma" w:hAnsi="Tahoma"/>
      <w:b/>
      <w:sz w:val="18"/>
    </w:rPr>
  </w:style>
  <w:style w:type="paragraph" w:styleId="Heading9">
    <w:name w:val="heading 9"/>
    <w:basedOn w:val="Normal"/>
    <w:next w:val="Normal"/>
    <w:qFormat/>
    <w:rsid w:val="00530A6C"/>
    <w:pPr>
      <w:keepNext/>
      <w:spacing w:before="60" w:line="300" w:lineRule="auto"/>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0A6C"/>
    <w:pPr>
      <w:tabs>
        <w:tab w:val="center" w:pos="4153"/>
        <w:tab w:val="right" w:pos="8306"/>
      </w:tabs>
    </w:pPr>
  </w:style>
  <w:style w:type="paragraph" w:styleId="Footer">
    <w:name w:val="footer"/>
    <w:basedOn w:val="Normal"/>
    <w:semiHidden/>
    <w:rsid w:val="00530A6C"/>
    <w:pPr>
      <w:tabs>
        <w:tab w:val="center" w:pos="4153"/>
        <w:tab w:val="right" w:pos="8306"/>
      </w:tabs>
    </w:pPr>
  </w:style>
  <w:style w:type="paragraph" w:styleId="BodyText">
    <w:name w:val="Body Text"/>
    <w:basedOn w:val="Normal"/>
    <w:semiHidden/>
    <w:rsid w:val="00530A6C"/>
    <w:rPr>
      <w:rFonts w:ascii="Arial" w:hAnsi="Arial"/>
      <w:sz w:val="24"/>
    </w:rPr>
  </w:style>
  <w:style w:type="paragraph" w:styleId="PlainText">
    <w:name w:val="Plain Text"/>
    <w:basedOn w:val="Normal"/>
    <w:semiHidden/>
    <w:rsid w:val="00530A6C"/>
    <w:rPr>
      <w:rFonts w:ascii="Courier New" w:hAnsi="Courier New"/>
    </w:rPr>
  </w:style>
  <w:style w:type="paragraph" w:styleId="BodyTextIndent">
    <w:name w:val="Body Text Indent"/>
    <w:basedOn w:val="Normal"/>
    <w:semiHidden/>
    <w:rsid w:val="00530A6C"/>
    <w:pPr>
      <w:ind w:left="720" w:hanging="720"/>
    </w:pPr>
    <w:rPr>
      <w:rFonts w:ascii="Arial" w:hAnsi="Arial"/>
      <w:sz w:val="24"/>
    </w:rPr>
  </w:style>
  <w:style w:type="paragraph" w:styleId="BodyTextIndent2">
    <w:name w:val="Body Text Indent 2"/>
    <w:basedOn w:val="Normal"/>
    <w:semiHidden/>
    <w:rsid w:val="00530A6C"/>
    <w:pPr>
      <w:ind w:left="709" w:hanging="709"/>
    </w:pPr>
    <w:rPr>
      <w:rFonts w:ascii="Arial" w:hAnsi="Arial"/>
      <w:sz w:val="24"/>
    </w:rPr>
  </w:style>
  <w:style w:type="paragraph" w:styleId="BodyTextIndent3">
    <w:name w:val="Body Text Indent 3"/>
    <w:basedOn w:val="Normal"/>
    <w:semiHidden/>
    <w:rsid w:val="00530A6C"/>
    <w:pPr>
      <w:ind w:left="284" w:hanging="284"/>
    </w:pPr>
    <w:rPr>
      <w:rFonts w:ascii="Arial" w:hAnsi="Arial"/>
      <w:sz w:val="24"/>
    </w:rPr>
  </w:style>
  <w:style w:type="paragraph" w:customStyle="1" w:styleId="parasubsection-last">
    <w:name w:val="parasubsection-last"/>
    <w:basedOn w:val="Normal"/>
    <w:rsid w:val="00530A6C"/>
    <w:pPr>
      <w:spacing w:before="100" w:after="100"/>
    </w:pPr>
    <w:rPr>
      <w:rFonts w:ascii="Verdana" w:hAnsi="Verdana"/>
      <w:color w:val="000000"/>
      <w:sz w:val="24"/>
      <w:lang w:val="en-US"/>
    </w:rPr>
  </w:style>
  <w:style w:type="paragraph" w:styleId="BodyText2">
    <w:name w:val="Body Text 2"/>
    <w:basedOn w:val="Normal"/>
    <w:semiHidden/>
    <w:rsid w:val="00530A6C"/>
    <w:pPr>
      <w:spacing w:line="300" w:lineRule="auto"/>
    </w:pPr>
    <w:rPr>
      <w:rFonts w:ascii="Arial" w:hAnsi="Arial"/>
      <w:sz w:val="18"/>
    </w:rPr>
  </w:style>
  <w:style w:type="paragraph" w:styleId="ListParagraph">
    <w:name w:val="List Paragraph"/>
    <w:basedOn w:val="Normal"/>
    <w:uiPriority w:val="34"/>
    <w:qFormat/>
    <w:rsid w:val="009A7ED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CARLISLE CITY COUNCIL</vt:lpstr>
    </vt:vector>
  </TitlesOfParts>
  <Company>Carlisle City Council,TCCE</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dc:title>
  <dc:subject/>
  <dc:creator>Jim Messenger</dc:creator>
  <cp:keywords/>
  <dc:description/>
  <cp:lastModifiedBy>RachelR</cp:lastModifiedBy>
  <cp:revision>2</cp:revision>
  <cp:lastPrinted>2007-11-26T11:20:00Z</cp:lastPrinted>
  <dcterms:created xsi:type="dcterms:W3CDTF">2010-10-04T09:26:00Z</dcterms:created>
  <dcterms:modified xsi:type="dcterms:W3CDTF">2010-10-04T09:26:00Z</dcterms:modified>
</cp:coreProperties>
</file>