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DD" w:rsidRDefault="00E224DD">
      <w:r w:rsidRPr="00E224DD">
        <w:rPr>
          <w:noProof/>
        </w:rPr>
        <w:drawing>
          <wp:anchor distT="0" distB="0" distL="114300" distR="114300" simplePos="0" relativeHeight="251659776" behindDoc="0" locked="0" layoutInCell="0" allowOverlap="1">
            <wp:simplePos x="0" y="0"/>
            <wp:positionH relativeFrom="column">
              <wp:posOffset>162560</wp:posOffset>
            </wp:positionH>
            <wp:positionV relativeFrom="page">
              <wp:posOffset>698500</wp:posOffset>
            </wp:positionV>
            <wp:extent cx="1457325" cy="1257300"/>
            <wp:effectExtent l="19050" t="0" r="9525" b="0"/>
            <wp:wrapNone/>
            <wp:docPr id="3" name="Picture 2" descr="cclogo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clogojpeg"/>
                    <pic:cNvPicPr preferRelativeResize="0">
                      <a:picLocks noChangeArrowheads="1"/>
                    </pic:cNvPicPr>
                  </pic:nvPicPr>
                  <pic:blipFill>
                    <a:blip r:embed="rId8" cstate="print"/>
                    <a:srcRect/>
                    <a:stretch>
                      <a:fillRect/>
                    </a:stretch>
                  </pic:blipFill>
                  <pic:spPr bwMode="auto">
                    <a:xfrm>
                      <a:off x="0" y="0"/>
                      <a:ext cx="1457325" cy="1251585"/>
                    </a:xfrm>
                    <a:prstGeom prst="rect">
                      <a:avLst/>
                    </a:prstGeom>
                    <a:noFill/>
                  </pic:spPr>
                </pic:pic>
              </a:graphicData>
            </a:graphic>
          </wp:anchor>
        </w:drawing>
      </w:r>
    </w:p>
    <w:tbl>
      <w:tblPr>
        <w:tblW w:w="0" w:type="auto"/>
        <w:tblInd w:w="3794" w:type="dxa"/>
        <w:tblLayout w:type="fixed"/>
        <w:tblLook w:val="0000"/>
      </w:tblPr>
      <w:tblGrid>
        <w:gridCol w:w="5953"/>
      </w:tblGrid>
      <w:tr w:rsidR="00E224DD" w:rsidTr="001E0418">
        <w:trPr>
          <w:trHeight w:val="1583"/>
        </w:trPr>
        <w:tc>
          <w:tcPr>
            <w:tcW w:w="5953" w:type="dxa"/>
            <w:tcBorders>
              <w:bottom w:val="nil"/>
            </w:tcBorders>
          </w:tcPr>
          <w:p w:rsidR="00E224DD" w:rsidRDefault="00E224DD" w:rsidP="001E0418">
            <w:pPr>
              <w:pStyle w:val="Header"/>
              <w:rPr>
                <w:b/>
                <w:caps/>
                <w:noProof/>
                <w:sz w:val="40"/>
              </w:rPr>
            </w:pPr>
            <w:r>
              <w:rPr>
                <w:b/>
                <w:caps/>
                <w:noProof/>
                <w:sz w:val="40"/>
              </w:rPr>
              <w:t>RESOURCES OVERVIEW AND SCRUTINY PANEL</w:t>
            </w:r>
          </w:p>
        </w:tc>
      </w:tr>
    </w:tbl>
    <w:p w:rsidR="00E224DD" w:rsidRDefault="00E224DD" w:rsidP="00E224DD">
      <w:pPr>
        <w:rPr>
          <w:rFonts w:ascii="Tahoma" w:hAnsi="Tahoma"/>
          <w:b/>
          <w:sz w:val="28"/>
        </w:rPr>
      </w:pPr>
    </w:p>
    <w:p w:rsidR="00E224DD" w:rsidRDefault="00E224DD" w:rsidP="00E224DD">
      <w:pPr>
        <w:jc w:val="center"/>
        <w:rPr>
          <w:b/>
          <w:i/>
          <w:sz w:val="40"/>
        </w:rPr>
      </w:pPr>
      <w:r>
        <w:rPr>
          <w:b/>
          <w:i/>
          <w:sz w:val="40"/>
        </w:rPr>
        <w:t>Panel Report</w:t>
      </w:r>
    </w:p>
    <w:p w:rsidR="00E224DD" w:rsidRDefault="00E224DD" w:rsidP="00E224DD">
      <w:pPr>
        <w:rPr>
          <w:b/>
          <w:sz w:val="28"/>
        </w:rPr>
      </w:pPr>
    </w:p>
    <w:tbl>
      <w:tblPr>
        <w:tblW w:w="0" w:type="auto"/>
        <w:tblInd w:w="-34" w:type="dxa"/>
        <w:tblLayout w:type="fixed"/>
        <w:tblLook w:val="0000"/>
      </w:tblPr>
      <w:tblGrid>
        <w:gridCol w:w="2269"/>
        <w:gridCol w:w="7654"/>
      </w:tblGrid>
      <w:tr w:rsidR="00E224DD" w:rsidTr="001E0418">
        <w:trPr>
          <w:cantSplit/>
        </w:trPr>
        <w:tc>
          <w:tcPr>
            <w:tcW w:w="9923" w:type="dxa"/>
            <w:gridSpan w:val="2"/>
          </w:tcPr>
          <w:p w:rsidR="00E224DD" w:rsidRDefault="00E224DD" w:rsidP="001E0418">
            <w:pPr>
              <w:pStyle w:val="Header"/>
              <w:tabs>
                <w:tab w:val="clear" w:pos="4153"/>
                <w:tab w:val="clear" w:pos="8306"/>
              </w:tabs>
            </w:pPr>
            <w:r>
              <w:rPr>
                <w:b/>
              </w:rPr>
              <w:t>Public</w:t>
            </w:r>
          </w:p>
        </w:tc>
      </w:tr>
      <w:tr w:rsidR="00E224DD" w:rsidTr="001E0418">
        <w:trPr>
          <w:cantSplit/>
        </w:trPr>
        <w:tc>
          <w:tcPr>
            <w:tcW w:w="9923" w:type="dxa"/>
            <w:gridSpan w:val="2"/>
          </w:tcPr>
          <w:p w:rsidR="00E224DD" w:rsidRDefault="00E224DD" w:rsidP="001E0418">
            <w:pPr>
              <w:pStyle w:val="Header"/>
              <w:tabs>
                <w:tab w:val="clear" w:pos="4153"/>
                <w:tab w:val="clear" w:pos="8306"/>
              </w:tabs>
              <w:rPr>
                <w:sz w:val="20"/>
              </w:rPr>
            </w:pPr>
          </w:p>
        </w:tc>
      </w:tr>
      <w:tr w:rsidR="00E224DD" w:rsidTr="001E0418">
        <w:trPr>
          <w:cantSplit/>
        </w:trPr>
        <w:tc>
          <w:tcPr>
            <w:tcW w:w="2269" w:type="dxa"/>
          </w:tcPr>
          <w:p w:rsidR="00E224DD" w:rsidRDefault="00E224DD" w:rsidP="001E0418">
            <w:pPr>
              <w:pStyle w:val="Header"/>
              <w:tabs>
                <w:tab w:val="clear" w:pos="4153"/>
                <w:tab w:val="clear" w:pos="8306"/>
              </w:tabs>
              <w:rPr>
                <w:b/>
              </w:rPr>
            </w:pPr>
            <w:r>
              <w:rPr>
                <w:b/>
              </w:rPr>
              <w:t>Date of Meeting:</w:t>
            </w:r>
          </w:p>
          <w:p w:rsidR="00E224DD" w:rsidRDefault="00E224DD" w:rsidP="001E0418">
            <w:pPr>
              <w:pStyle w:val="Header"/>
              <w:tabs>
                <w:tab w:val="clear" w:pos="4153"/>
                <w:tab w:val="clear" w:pos="8306"/>
              </w:tabs>
              <w:rPr>
                <w:b/>
              </w:rPr>
            </w:pPr>
          </w:p>
        </w:tc>
        <w:tc>
          <w:tcPr>
            <w:tcW w:w="7654" w:type="dxa"/>
          </w:tcPr>
          <w:p w:rsidR="00E224DD" w:rsidRDefault="00EE3829" w:rsidP="00EE3829">
            <w:pPr>
              <w:pStyle w:val="Header"/>
              <w:tabs>
                <w:tab w:val="clear" w:pos="4153"/>
                <w:tab w:val="clear" w:pos="8306"/>
              </w:tabs>
              <w:rPr>
                <w:b/>
              </w:rPr>
            </w:pPr>
            <w:r>
              <w:rPr>
                <w:b/>
              </w:rPr>
              <w:t>29</w:t>
            </w:r>
            <w:r w:rsidR="00E224DD">
              <w:rPr>
                <w:b/>
              </w:rPr>
              <w:t xml:space="preserve"> </w:t>
            </w:r>
            <w:r>
              <w:rPr>
                <w:b/>
              </w:rPr>
              <w:t>Jul</w:t>
            </w:r>
            <w:r w:rsidR="00E224DD">
              <w:rPr>
                <w:b/>
              </w:rPr>
              <w:t>y 2010</w:t>
            </w:r>
          </w:p>
        </w:tc>
      </w:tr>
      <w:tr w:rsidR="00E224DD" w:rsidTr="001E0418">
        <w:tc>
          <w:tcPr>
            <w:tcW w:w="2269" w:type="dxa"/>
          </w:tcPr>
          <w:p w:rsidR="00E224DD" w:rsidRDefault="00E224DD" w:rsidP="001E0418">
            <w:pPr>
              <w:pStyle w:val="Heading8"/>
              <w:spacing w:before="0"/>
              <w:rPr>
                <w:rFonts w:ascii="Arial" w:hAnsi="Arial"/>
                <w:sz w:val="24"/>
              </w:rPr>
            </w:pPr>
            <w:r>
              <w:rPr>
                <w:rFonts w:ascii="Arial" w:hAnsi="Arial"/>
                <w:sz w:val="24"/>
              </w:rPr>
              <w:t>Title:</w:t>
            </w:r>
          </w:p>
          <w:p w:rsidR="00E224DD" w:rsidRDefault="00E224DD" w:rsidP="001E0418"/>
        </w:tc>
        <w:tc>
          <w:tcPr>
            <w:tcW w:w="7654" w:type="dxa"/>
          </w:tcPr>
          <w:p w:rsidR="00E224DD" w:rsidRDefault="00E224DD" w:rsidP="00EE3829">
            <w:pPr>
              <w:rPr>
                <w:b/>
              </w:rPr>
            </w:pPr>
            <w:r>
              <w:rPr>
                <w:b/>
              </w:rPr>
              <w:t xml:space="preserve">REVENUE BUDGET OVERVIEW AND MONITORING REPORT: APRIL TO </w:t>
            </w:r>
            <w:r w:rsidR="00EE3829">
              <w:rPr>
                <w:b/>
              </w:rPr>
              <w:t xml:space="preserve">June </w:t>
            </w:r>
            <w:r>
              <w:rPr>
                <w:b/>
              </w:rPr>
              <w:t>20</w:t>
            </w:r>
            <w:r w:rsidR="00EE3829">
              <w:rPr>
                <w:b/>
              </w:rPr>
              <w:t>1</w:t>
            </w:r>
            <w:r>
              <w:rPr>
                <w:b/>
              </w:rPr>
              <w:t>0</w:t>
            </w:r>
          </w:p>
        </w:tc>
      </w:tr>
      <w:tr w:rsidR="00E224DD" w:rsidTr="001E0418">
        <w:tc>
          <w:tcPr>
            <w:tcW w:w="2269" w:type="dxa"/>
          </w:tcPr>
          <w:p w:rsidR="00E224DD" w:rsidRDefault="00E224DD" w:rsidP="001E0418">
            <w:pPr>
              <w:pStyle w:val="Heading8"/>
              <w:spacing w:before="0"/>
              <w:rPr>
                <w:rFonts w:ascii="Arial" w:hAnsi="Arial"/>
                <w:sz w:val="24"/>
              </w:rPr>
            </w:pPr>
            <w:r>
              <w:rPr>
                <w:rFonts w:ascii="Arial" w:hAnsi="Arial"/>
                <w:sz w:val="24"/>
              </w:rPr>
              <w:t>Report of:</w:t>
            </w:r>
          </w:p>
          <w:p w:rsidR="00E224DD" w:rsidRDefault="00E224DD" w:rsidP="001E0418"/>
        </w:tc>
        <w:tc>
          <w:tcPr>
            <w:tcW w:w="7654" w:type="dxa"/>
          </w:tcPr>
          <w:p w:rsidR="00E224DD" w:rsidRDefault="00E224DD" w:rsidP="001E0418">
            <w:pPr>
              <w:rPr>
                <w:b/>
              </w:rPr>
            </w:pPr>
            <w:r>
              <w:rPr>
                <w:b/>
              </w:rPr>
              <w:t>Assistant Director (Resources)</w:t>
            </w:r>
          </w:p>
        </w:tc>
      </w:tr>
      <w:tr w:rsidR="00E224DD" w:rsidTr="001E0418">
        <w:tc>
          <w:tcPr>
            <w:tcW w:w="2269" w:type="dxa"/>
          </w:tcPr>
          <w:p w:rsidR="00E224DD" w:rsidRDefault="00E224DD" w:rsidP="001E0418">
            <w:pPr>
              <w:pStyle w:val="Heading8"/>
              <w:spacing w:before="0" w:after="60"/>
              <w:rPr>
                <w:rFonts w:ascii="Arial" w:hAnsi="Arial"/>
                <w:sz w:val="24"/>
              </w:rPr>
            </w:pPr>
            <w:r>
              <w:rPr>
                <w:rFonts w:ascii="Arial" w:hAnsi="Arial"/>
                <w:sz w:val="24"/>
              </w:rPr>
              <w:t>Report reference:</w:t>
            </w:r>
          </w:p>
        </w:tc>
        <w:tc>
          <w:tcPr>
            <w:tcW w:w="7654" w:type="dxa"/>
          </w:tcPr>
          <w:p w:rsidR="00E224DD" w:rsidRDefault="00E224DD" w:rsidP="00EE3829">
            <w:pPr>
              <w:rPr>
                <w:b/>
              </w:rPr>
            </w:pPr>
            <w:r>
              <w:rPr>
                <w:b/>
              </w:rPr>
              <w:t>RD</w:t>
            </w:r>
            <w:r w:rsidR="00EE3829">
              <w:rPr>
                <w:b/>
              </w:rPr>
              <w:t>29</w:t>
            </w:r>
            <w:r>
              <w:rPr>
                <w:b/>
              </w:rPr>
              <w:t>/</w:t>
            </w:r>
            <w:r w:rsidR="00EE3829">
              <w:rPr>
                <w:b/>
              </w:rPr>
              <w:t>1</w:t>
            </w:r>
            <w:r>
              <w:rPr>
                <w:b/>
              </w:rPr>
              <w:t>0</w:t>
            </w:r>
          </w:p>
        </w:tc>
      </w:tr>
    </w:tbl>
    <w:p w:rsidR="00E224DD" w:rsidRDefault="00E224DD" w:rsidP="00E224DD">
      <w:pPr>
        <w:pStyle w:val="Header"/>
        <w:tabs>
          <w:tab w:val="clear" w:pos="4153"/>
          <w:tab w:val="clear" w:pos="8306"/>
        </w:tabs>
        <w:rPr>
          <w:b/>
        </w:rPr>
      </w:pPr>
    </w:p>
    <w:p w:rsidR="00E224DD" w:rsidRDefault="00E224DD" w:rsidP="00E224DD">
      <w:pPr>
        <w:pStyle w:val="Header"/>
        <w:tabs>
          <w:tab w:val="clear" w:pos="4153"/>
          <w:tab w:val="clear" w:pos="8306"/>
        </w:tabs>
        <w:rPr>
          <w:b/>
        </w:rPr>
      </w:pPr>
      <w:r>
        <w:rPr>
          <w:b/>
        </w:rPr>
        <w:t>Summary:</w:t>
      </w:r>
    </w:p>
    <w:p w:rsidR="001E0418" w:rsidRPr="00E7170D" w:rsidRDefault="001E0418" w:rsidP="001E0418">
      <w:pPr>
        <w:pStyle w:val="Header"/>
        <w:tabs>
          <w:tab w:val="clear" w:pos="4153"/>
          <w:tab w:val="clear" w:pos="8306"/>
        </w:tabs>
      </w:pPr>
      <w:r w:rsidRPr="00661551">
        <w:t xml:space="preserve">This report provides an overview of the Council’s overall budgetary position for the period April to </w:t>
      </w:r>
      <w:r w:rsidR="00EE3829">
        <w:t>June</w:t>
      </w:r>
      <w:r w:rsidRPr="00661551">
        <w:t xml:space="preserve"> 20</w:t>
      </w:r>
      <w:r w:rsidR="00EE3829">
        <w:t>1</w:t>
      </w:r>
      <w:r w:rsidRPr="00661551">
        <w:t xml:space="preserve">0 for revenue schemes. The revenue report includes details of balance sheet management issues, high-risk budgets, performance management, and </w:t>
      </w:r>
      <w:r w:rsidRPr="00E7170D">
        <w:t xml:space="preserve">progress against the Comprehensive Spending Review (CSR) efficiency statement. </w:t>
      </w:r>
    </w:p>
    <w:p w:rsidR="00B473AD" w:rsidRDefault="00B473AD" w:rsidP="001E0418">
      <w:pPr>
        <w:pStyle w:val="Header"/>
        <w:tabs>
          <w:tab w:val="clear" w:pos="4153"/>
          <w:tab w:val="clear" w:pos="8306"/>
        </w:tabs>
      </w:pPr>
    </w:p>
    <w:p w:rsidR="001E0418" w:rsidRDefault="00B473AD" w:rsidP="001E0418">
      <w:pPr>
        <w:pStyle w:val="Header"/>
        <w:tabs>
          <w:tab w:val="clear" w:pos="4153"/>
          <w:tab w:val="clear" w:pos="8306"/>
        </w:tabs>
        <w:rPr>
          <w:b/>
        </w:rPr>
      </w:pPr>
      <w:r w:rsidRPr="00AE143B">
        <w:rPr>
          <w:snapToGrid w:val="0"/>
          <w:lang w:eastAsia="en-US"/>
        </w:rPr>
        <w:t>Although difficult to forecast the outturn position</w:t>
      </w:r>
      <w:r>
        <w:rPr>
          <w:snapToGrid w:val="0"/>
          <w:lang w:eastAsia="en-US"/>
        </w:rPr>
        <w:t xml:space="preserve"> this early in the year</w:t>
      </w:r>
      <w:r w:rsidRPr="00AE143B">
        <w:rPr>
          <w:snapToGrid w:val="0"/>
          <w:lang w:eastAsia="en-US"/>
        </w:rPr>
        <w:t xml:space="preserve">, the information contained within section 4 </w:t>
      </w:r>
      <w:r>
        <w:rPr>
          <w:snapToGrid w:val="0"/>
          <w:lang w:eastAsia="en-US"/>
        </w:rPr>
        <w:t xml:space="preserve">of this report </w:t>
      </w:r>
      <w:r w:rsidRPr="00AE143B">
        <w:rPr>
          <w:snapToGrid w:val="0"/>
          <w:lang w:eastAsia="en-US"/>
        </w:rPr>
        <w:t xml:space="preserve">points to a position of underspend at the year-end. It should be possible to contain any </w:t>
      </w:r>
      <w:r>
        <w:rPr>
          <w:snapToGrid w:val="0"/>
          <w:lang w:eastAsia="en-US"/>
        </w:rPr>
        <w:t xml:space="preserve">future </w:t>
      </w:r>
      <w:r w:rsidRPr="00AE143B">
        <w:rPr>
          <w:snapToGrid w:val="0"/>
          <w:lang w:eastAsia="en-US"/>
        </w:rPr>
        <w:t xml:space="preserve">over spends </w:t>
      </w:r>
      <w:r>
        <w:rPr>
          <w:snapToGrid w:val="0"/>
          <w:lang w:eastAsia="en-US"/>
        </w:rPr>
        <w:t xml:space="preserve">within this </w:t>
      </w:r>
      <w:r w:rsidRPr="00AE143B">
        <w:rPr>
          <w:snapToGrid w:val="0"/>
          <w:lang w:eastAsia="en-US"/>
        </w:rPr>
        <w:t>underspend</w:t>
      </w:r>
      <w:r>
        <w:rPr>
          <w:snapToGrid w:val="0"/>
          <w:lang w:eastAsia="en-US"/>
        </w:rPr>
        <w:t>,</w:t>
      </w:r>
      <w:r w:rsidRPr="00AE143B">
        <w:rPr>
          <w:snapToGrid w:val="0"/>
          <w:lang w:eastAsia="en-US"/>
        </w:rPr>
        <w:t xml:space="preserve"> </w:t>
      </w:r>
      <w:r>
        <w:rPr>
          <w:snapToGrid w:val="0"/>
          <w:lang w:eastAsia="en-US"/>
        </w:rPr>
        <w:t xml:space="preserve">and </w:t>
      </w:r>
      <w:r w:rsidRPr="00AE143B">
        <w:rPr>
          <w:snapToGrid w:val="0"/>
          <w:lang w:eastAsia="en-US"/>
        </w:rPr>
        <w:t xml:space="preserve">within the overall budget provision. </w:t>
      </w:r>
      <w:r w:rsidR="001E0418">
        <w:t xml:space="preserve">At the end of </w:t>
      </w:r>
      <w:r w:rsidR="00EE3829" w:rsidRPr="00317D47">
        <w:t>June</w:t>
      </w:r>
      <w:r w:rsidR="001E0418" w:rsidRPr="00317D47">
        <w:t xml:space="preserve"> there is a </w:t>
      </w:r>
      <w:r w:rsidR="00317D47" w:rsidRPr="00317D47">
        <w:t>deficit</w:t>
      </w:r>
      <w:r w:rsidR="001E0418" w:rsidRPr="00317D47">
        <w:t xml:space="preserve"> of approximately £</w:t>
      </w:r>
      <w:r w:rsidR="00317D47" w:rsidRPr="00317D47">
        <w:t>151</w:t>
      </w:r>
      <w:r w:rsidR="001E0418" w:rsidRPr="00317D47">
        <w:t>,</w:t>
      </w:r>
      <w:r w:rsidR="0065326A" w:rsidRPr="00317D47">
        <w:t>000</w:t>
      </w:r>
      <w:r w:rsidR="001E0418" w:rsidRPr="00317D47">
        <w:t xml:space="preserve"> against the income target for fees and charges (</w:t>
      </w:r>
      <w:proofErr w:type="spellStart"/>
      <w:r w:rsidR="001E0418" w:rsidRPr="00EE01F3">
        <w:t>para</w:t>
      </w:r>
      <w:proofErr w:type="spellEnd"/>
      <w:r w:rsidR="001E0418" w:rsidRPr="00EE01F3">
        <w:t>. 6.2)</w:t>
      </w:r>
      <w:r w:rsidR="00EE01F3" w:rsidRPr="00EE01F3">
        <w:t>.</w:t>
      </w:r>
      <w:r>
        <w:t xml:space="preserve">  </w:t>
      </w:r>
      <w:r w:rsidR="001E0418" w:rsidRPr="00EE01F3">
        <w:t>Unfortunately</w:t>
      </w:r>
      <w:r w:rsidR="001E0418" w:rsidRPr="00317D47">
        <w:t xml:space="preserve">, the position is likely to be </w:t>
      </w:r>
      <w:r w:rsidR="00317D47">
        <w:t xml:space="preserve">even </w:t>
      </w:r>
      <w:r w:rsidR="001E0418" w:rsidRPr="00317D47">
        <w:t xml:space="preserve">more difficult in future years, and assumptions on income generation and other budget pressures, identified in this report, </w:t>
      </w:r>
      <w:r w:rsidR="00317D47" w:rsidRPr="00317D47">
        <w:t xml:space="preserve">will </w:t>
      </w:r>
      <w:r w:rsidR="001E0418" w:rsidRPr="00317D47">
        <w:t>be considered as part of the 20</w:t>
      </w:r>
      <w:r w:rsidR="0065326A" w:rsidRPr="00317D47">
        <w:t>1</w:t>
      </w:r>
      <w:r w:rsidR="00EE3829" w:rsidRPr="00317D47">
        <w:t>1</w:t>
      </w:r>
      <w:r w:rsidR="001E0418" w:rsidRPr="00317D47">
        <w:t>/1</w:t>
      </w:r>
      <w:r w:rsidR="00EE3829" w:rsidRPr="00317D47">
        <w:t>2</w:t>
      </w:r>
      <w:r w:rsidR="0065326A" w:rsidRPr="00317D47">
        <w:t xml:space="preserve"> </w:t>
      </w:r>
      <w:r w:rsidR="001E0418" w:rsidRPr="00317D47">
        <w:t>budget process.</w:t>
      </w:r>
    </w:p>
    <w:p w:rsidR="00E224DD" w:rsidRDefault="00E224DD" w:rsidP="00E224DD">
      <w:pPr>
        <w:pStyle w:val="Header"/>
        <w:tabs>
          <w:tab w:val="clear" w:pos="4153"/>
          <w:tab w:val="clear" w:pos="8306"/>
        </w:tabs>
      </w:pPr>
    </w:p>
    <w:p w:rsidR="00B55570" w:rsidRDefault="00B55570" w:rsidP="00E224DD">
      <w:pPr>
        <w:pStyle w:val="Header"/>
        <w:tabs>
          <w:tab w:val="clear" w:pos="4153"/>
          <w:tab w:val="clear" w:pos="8306"/>
        </w:tabs>
      </w:pPr>
      <w:r>
        <w:t>Senior Management Team members are currently reviewing and providing</w:t>
      </w:r>
      <w:r w:rsidR="009F3B44">
        <w:t xml:space="preserve"> comments on the status of the significant variances within each directorate and an addendum detailing these comments will be circulated to ROSP members on 22</w:t>
      </w:r>
      <w:r w:rsidR="009F3B44" w:rsidRPr="009F3B44">
        <w:rPr>
          <w:vertAlign w:val="superscript"/>
        </w:rPr>
        <w:t>nd</w:t>
      </w:r>
      <w:r w:rsidR="009F3B44">
        <w:t xml:space="preserve"> July 2010.</w:t>
      </w:r>
    </w:p>
    <w:p w:rsidR="009F3B44" w:rsidRDefault="009F3B44" w:rsidP="00E224DD">
      <w:pPr>
        <w:pStyle w:val="Header"/>
        <w:tabs>
          <w:tab w:val="clear" w:pos="4153"/>
          <w:tab w:val="clear" w:pos="8306"/>
        </w:tabs>
      </w:pPr>
    </w:p>
    <w:p w:rsidR="00E224DD" w:rsidRPr="006C5010" w:rsidRDefault="00E224DD" w:rsidP="00E224DD">
      <w:pPr>
        <w:pStyle w:val="Header"/>
        <w:tabs>
          <w:tab w:val="clear" w:pos="4153"/>
          <w:tab w:val="clear" w:pos="8306"/>
        </w:tabs>
      </w:pPr>
      <w:r>
        <w:rPr>
          <w:b/>
        </w:rPr>
        <w:t>Questions for / input required from Scrutiny:</w:t>
      </w:r>
      <w:r w:rsidR="006C5010">
        <w:rPr>
          <w:b/>
        </w:rPr>
        <w:t xml:space="preserve"> </w:t>
      </w:r>
      <w:r w:rsidR="006C5010" w:rsidRPr="006C5010">
        <w:t>To note the variances contained within the report</w:t>
      </w:r>
      <w:r w:rsidR="00743CDB">
        <w:t xml:space="preserve"> and the likely year end position.</w:t>
      </w:r>
    </w:p>
    <w:p w:rsidR="00E224DD" w:rsidRDefault="00E224DD" w:rsidP="00E224DD">
      <w:pPr>
        <w:pStyle w:val="Header"/>
        <w:tabs>
          <w:tab w:val="clear" w:pos="4153"/>
          <w:tab w:val="clear" w:pos="8306"/>
        </w:tabs>
      </w:pPr>
    </w:p>
    <w:p w:rsidR="00EE3829" w:rsidRDefault="00E224DD" w:rsidP="001E0418">
      <w:pPr>
        <w:pStyle w:val="Header"/>
        <w:tabs>
          <w:tab w:val="clear" w:pos="4153"/>
          <w:tab w:val="clear" w:pos="8306"/>
        </w:tabs>
      </w:pPr>
      <w:r>
        <w:rPr>
          <w:b/>
        </w:rPr>
        <w:lastRenderedPageBreak/>
        <w:t>Recommendations:</w:t>
      </w:r>
      <w:r w:rsidR="00743CDB">
        <w:rPr>
          <w:b/>
        </w:rPr>
        <w:t xml:space="preserve"> </w:t>
      </w:r>
      <w:r w:rsidR="001E0418" w:rsidRPr="00E7170D">
        <w:t xml:space="preserve">Members of the Resources Overview and Scrutiny Panel are asked to note the budgetary position for the period April to </w:t>
      </w:r>
      <w:r w:rsidR="00EE3829">
        <w:t>June</w:t>
      </w:r>
      <w:r w:rsidR="001E0418" w:rsidRPr="00E7170D">
        <w:t xml:space="preserve"> 20</w:t>
      </w:r>
      <w:r w:rsidR="00EE3829">
        <w:t>1</w:t>
      </w:r>
      <w:r w:rsidR="001E0418" w:rsidRPr="00E7170D">
        <w:t>0.</w:t>
      </w:r>
    </w:p>
    <w:p w:rsidR="001E0418" w:rsidRDefault="001E0418" w:rsidP="001E0418">
      <w:pPr>
        <w:pStyle w:val="Header"/>
        <w:tabs>
          <w:tab w:val="clear" w:pos="4153"/>
          <w:tab w:val="clear" w:pos="8306"/>
        </w:tabs>
      </w:pPr>
      <w:r w:rsidRPr="00E7170D">
        <w:t xml:space="preserve"> </w:t>
      </w:r>
    </w:p>
    <w:tbl>
      <w:tblPr>
        <w:tblW w:w="0" w:type="auto"/>
        <w:tblInd w:w="-34" w:type="dxa"/>
        <w:tblLayout w:type="fixed"/>
        <w:tblLook w:val="0000"/>
      </w:tblPr>
      <w:tblGrid>
        <w:gridCol w:w="4678"/>
        <w:gridCol w:w="283"/>
        <w:gridCol w:w="2410"/>
      </w:tblGrid>
      <w:tr w:rsidR="0065326A" w:rsidTr="008E542D">
        <w:tc>
          <w:tcPr>
            <w:tcW w:w="4678" w:type="dxa"/>
          </w:tcPr>
          <w:p w:rsidR="0065326A" w:rsidRDefault="008E542D" w:rsidP="008E542D">
            <w:pPr>
              <w:pStyle w:val="Header"/>
              <w:tabs>
                <w:tab w:val="clear" w:pos="4153"/>
                <w:tab w:val="clear" w:pos="8306"/>
              </w:tabs>
            </w:pPr>
            <w:r>
              <w:rPr>
                <w:b/>
              </w:rPr>
              <w:t xml:space="preserve">Contact Officer:       </w:t>
            </w:r>
            <w:r w:rsidR="0065326A">
              <w:t xml:space="preserve">Maureen </w:t>
            </w:r>
            <w:r>
              <w:t>M</w:t>
            </w:r>
            <w:r w:rsidR="0065326A">
              <w:t>cCartney</w:t>
            </w:r>
          </w:p>
        </w:tc>
        <w:tc>
          <w:tcPr>
            <w:tcW w:w="283" w:type="dxa"/>
          </w:tcPr>
          <w:p w:rsidR="0065326A" w:rsidRDefault="0065326A" w:rsidP="008E542D">
            <w:pPr>
              <w:rPr>
                <w:b/>
              </w:rPr>
            </w:pPr>
          </w:p>
        </w:tc>
        <w:tc>
          <w:tcPr>
            <w:tcW w:w="2410" w:type="dxa"/>
          </w:tcPr>
          <w:p w:rsidR="0065326A" w:rsidRDefault="0079620D" w:rsidP="00201AA6">
            <w:r>
              <w:t xml:space="preserve">                </w:t>
            </w:r>
            <w:r w:rsidRPr="0079620D">
              <w:rPr>
                <w:b/>
              </w:rPr>
              <w:t>Ext</w:t>
            </w:r>
            <w:r>
              <w:t>: 7291</w:t>
            </w:r>
          </w:p>
        </w:tc>
      </w:tr>
    </w:tbl>
    <w:p w:rsidR="00BA6AD1" w:rsidRDefault="00EC416E">
      <w:pPr>
        <w:jc w:val="center"/>
        <w:rPr>
          <w:u w:val="single"/>
        </w:rPr>
      </w:pPr>
      <w:r>
        <w:rPr>
          <w:u w:val="single"/>
        </w:rPr>
        <w:br w:type="page"/>
      </w:r>
      <w:r w:rsidR="00BA6AD1">
        <w:rPr>
          <w:u w:val="single"/>
        </w:rPr>
        <w:lastRenderedPageBreak/>
        <w:t>CITY OF CARLISLE</w:t>
      </w:r>
    </w:p>
    <w:p w:rsidR="00BA6AD1" w:rsidRDefault="00BA6AD1">
      <w:pPr>
        <w:jc w:val="center"/>
        <w:rPr>
          <w:b/>
        </w:rPr>
      </w:pPr>
    </w:p>
    <w:p w:rsidR="00BA6AD1" w:rsidRDefault="00BA6AD1">
      <w:pPr>
        <w:pStyle w:val="Header"/>
        <w:tabs>
          <w:tab w:val="clear" w:pos="4153"/>
          <w:tab w:val="clear" w:pos="8306"/>
        </w:tabs>
        <w:rPr>
          <w:u w:val="single"/>
        </w:rPr>
      </w:pPr>
      <w:r>
        <w:t>To:</w:t>
      </w:r>
      <w:r>
        <w:tab/>
        <w:t xml:space="preserve">The </w:t>
      </w:r>
      <w:r w:rsidR="008C1B11">
        <w:t>Resources Overview and Scrutiny Panel</w:t>
      </w:r>
      <w:r w:rsidR="008C1B11">
        <w:tab/>
      </w:r>
      <w:r>
        <w:tab/>
      </w:r>
      <w:r>
        <w:tab/>
      </w:r>
      <w:r>
        <w:tab/>
      </w:r>
      <w:r>
        <w:tab/>
      </w:r>
      <w:r w:rsidR="006D5B66">
        <w:rPr>
          <w:u w:val="single"/>
        </w:rPr>
        <w:t>RD</w:t>
      </w:r>
      <w:r w:rsidR="008C1B11">
        <w:rPr>
          <w:u w:val="single"/>
        </w:rPr>
        <w:t>29</w:t>
      </w:r>
      <w:r>
        <w:rPr>
          <w:u w:val="single"/>
        </w:rPr>
        <w:t>/</w:t>
      </w:r>
      <w:r w:rsidR="008C1B11">
        <w:rPr>
          <w:u w:val="single"/>
        </w:rPr>
        <w:t>1</w:t>
      </w:r>
      <w:r>
        <w:rPr>
          <w:u w:val="single"/>
        </w:rPr>
        <w:t>0</w:t>
      </w:r>
    </w:p>
    <w:p w:rsidR="00BA6AD1" w:rsidRDefault="00BA6AD1">
      <w:pPr>
        <w:rPr>
          <w:u w:val="single"/>
        </w:rPr>
      </w:pPr>
      <w:r>
        <w:tab/>
      </w:r>
      <w:r w:rsidR="008C1B11">
        <w:rPr>
          <w:u w:val="single"/>
        </w:rPr>
        <w:t>29 Jul</w:t>
      </w:r>
      <w:r w:rsidR="006D5B66">
        <w:rPr>
          <w:u w:val="single"/>
        </w:rPr>
        <w:t>y</w:t>
      </w:r>
      <w:r>
        <w:rPr>
          <w:u w:val="single"/>
        </w:rPr>
        <w:t xml:space="preserve"> 20</w:t>
      </w:r>
      <w:r w:rsidR="006D5B66">
        <w:rPr>
          <w:u w:val="single"/>
        </w:rPr>
        <w:t>1</w:t>
      </w:r>
      <w:r>
        <w:rPr>
          <w:u w:val="single"/>
        </w:rPr>
        <w:t>0</w:t>
      </w:r>
    </w:p>
    <w:p w:rsidR="00BA6AD1" w:rsidRDefault="00BA6AD1">
      <w:pPr>
        <w:rPr>
          <w:u w:val="single"/>
        </w:rPr>
      </w:pPr>
    </w:p>
    <w:p w:rsidR="00BA6AD1" w:rsidRDefault="00BA6AD1">
      <w:pPr>
        <w:jc w:val="center"/>
        <w:rPr>
          <w:u w:val="single"/>
        </w:rPr>
      </w:pPr>
      <w:r>
        <w:rPr>
          <w:u w:val="single"/>
        </w:rPr>
        <w:t>REVENUE BUDGET OVERVIEW AND MONITORING REPORT</w:t>
      </w:r>
    </w:p>
    <w:p w:rsidR="00BA6AD1" w:rsidRDefault="006D5B66">
      <w:pPr>
        <w:jc w:val="center"/>
        <w:rPr>
          <w:u w:val="single"/>
        </w:rPr>
      </w:pPr>
      <w:r>
        <w:rPr>
          <w:u w:val="single"/>
        </w:rPr>
        <w:t xml:space="preserve">APRIL TO </w:t>
      </w:r>
      <w:r w:rsidR="008C1B11">
        <w:rPr>
          <w:u w:val="single"/>
        </w:rPr>
        <w:t>JUNE</w:t>
      </w:r>
      <w:r w:rsidR="00BA6AD1">
        <w:rPr>
          <w:u w:val="single"/>
        </w:rPr>
        <w:t xml:space="preserve"> 20</w:t>
      </w:r>
      <w:r w:rsidR="008C1B11">
        <w:rPr>
          <w:u w:val="single"/>
        </w:rPr>
        <w:t>1</w:t>
      </w:r>
      <w:r w:rsidR="00BA6AD1">
        <w:rPr>
          <w:u w:val="single"/>
        </w:rPr>
        <w:t>0</w:t>
      </w:r>
    </w:p>
    <w:p w:rsidR="00BA6AD1" w:rsidRDefault="00BA6AD1">
      <w:pPr>
        <w:jc w:val="center"/>
        <w:rPr>
          <w:b/>
        </w:rPr>
      </w:pPr>
    </w:p>
    <w:p w:rsidR="00BA6AD1" w:rsidRDefault="00BA6AD1">
      <w:pPr>
        <w:numPr>
          <w:ilvl w:val="0"/>
          <w:numId w:val="1"/>
        </w:numPr>
        <w:rPr>
          <w:b/>
        </w:rPr>
      </w:pPr>
      <w:r>
        <w:rPr>
          <w:b/>
        </w:rPr>
        <w:t>BACKGROUND INFORMATION AND OPTIONS</w:t>
      </w:r>
    </w:p>
    <w:p w:rsidR="00BA6AD1" w:rsidRDefault="00BA6AD1">
      <w:pPr>
        <w:numPr>
          <w:ilvl w:val="1"/>
          <w:numId w:val="6"/>
        </w:numPr>
      </w:pPr>
      <w:r>
        <w:t xml:space="preserve">In accordance with the City Council’s Financial Procedure Rules, the </w:t>
      </w:r>
      <w:r w:rsidR="006D5B66">
        <w:t xml:space="preserve">Assistant </w:t>
      </w:r>
      <w:r>
        <w:t xml:space="preserve">Director </w:t>
      </w:r>
      <w:r w:rsidR="006D5B66">
        <w:t>[Resources]</w:t>
      </w:r>
      <w:r>
        <w:t xml:space="preserve"> is required to report to the Executive on the overall budget position, the monitoring and control of expenditure against budget allocations and the exercise of virement on a regular basis.  It is the responsibility </w:t>
      </w:r>
      <w:r w:rsidRPr="001F03EB">
        <w:t xml:space="preserve">of individual </w:t>
      </w:r>
      <w:r w:rsidR="00E86A5B">
        <w:t xml:space="preserve">Assistant </w:t>
      </w:r>
      <w:r w:rsidRPr="00E86A5B">
        <w:t>Directors t</w:t>
      </w:r>
      <w:r>
        <w:t xml:space="preserve">o control income and expenditure within their service areas and to monitor performance, taking account of financial information provided by the </w:t>
      </w:r>
      <w:r w:rsidR="006D5B66">
        <w:t xml:space="preserve">Assistant </w:t>
      </w:r>
      <w:r>
        <w:t xml:space="preserve">Director </w:t>
      </w:r>
      <w:r w:rsidR="006D5B66">
        <w:t>[Re</w:t>
      </w:r>
      <w:r>
        <w:t>s</w:t>
      </w:r>
      <w:r w:rsidR="006D5B66">
        <w:t>ources]</w:t>
      </w:r>
      <w:r>
        <w:t>.</w:t>
      </w:r>
    </w:p>
    <w:p w:rsidR="001654BC" w:rsidRDefault="001654BC" w:rsidP="001654BC">
      <w:pPr>
        <w:ind w:left="705"/>
      </w:pPr>
    </w:p>
    <w:p w:rsidR="001654BC" w:rsidRDefault="001654BC">
      <w:pPr>
        <w:numPr>
          <w:ilvl w:val="1"/>
          <w:numId w:val="6"/>
        </w:numPr>
      </w:pPr>
      <w:r>
        <w:t xml:space="preserve">Due to the timing of the period end it was not possible to prepare this report to meet the deadlines of the Executive meeting of 26 July.  The Joint Management Team meeting of 22 July </w:t>
      </w:r>
      <w:r w:rsidR="00B473AD">
        <w:t>will</w:t>
      </w:r>
      <w:r>
        <w:t xml:space="preserve"> however consider this report</w:t>
      </w:r>
      <w:r w:rsidR="00E27FD1">
        <w:t>.</w:t>
      </w:r>
    </w:p>
    <w:p w:rsidR="00BA6AD1" w:rsidRDefault="00BA6AD1">
      <w:pPr>
        <w:tabs>
          <w:tab w:val="left" w:pos="709"/>
        </w:tabs>
      </w:pPr>
    </w:p>
    <w:p w:rsidR="00BA6AD1" w:rsidRDefault="00BA6AD1">
      <w:pPr>
        <w:tabs>
          <w:tab w:val="left" w:pos="709"/>
        </w:tabs>
        <w:ind w:left="703" w:hanging="703"/>
      </w:pPr>
      <w:r>
        <w:t>1.2</w:t>
      </w:r>
      <w:r>
        <w:tab/>
        <w:t>All Managers currently receive a monthly budget monitoring report covering their areas of responsibility</w:t>
      </w:r>
      <w:r w:rsidRPr="00EE01F3">
        <w:t>.  Information is collated from the main accounting system and then adjusted to correct any known budget profiling trends, timing differences and commitments. The report has been developed in line with the need to provide</w:t>
      </w:r>
      <w:r>
        <w:t xml:space="preserve"> sound financial management information to inform the decision making process, which is also a requirement of the Use of Resources assessment. </w:t>
      </w:r>
    </w:p>
    <w:p w:rsidR="00BA6AD1" w:rsidRDefault="00BA6AD1">
      <w:pPr>
        <w:tabs>
          <w:tab w:val="left" w:pos="709"/>
        </w:tabs>
        <w:ind w:left="703"/>
      </w:pPr>
    </w:p>
    <w:p w:rsidR="00BA6AD1" w:rsidRDefault="00BA6AD1">
      <w:pPr>
        <w:numPr>
          <w:ilvl w:val="1"/>
          <w:numId w:val="1"/>
        </w:numPr>
      </w:pPr>
      <w:r>
        <w:t>Throughout the report, the use of brackets indicates a credit or income budget, and the term underspend also relates to additional income generated.</w:t>
      </w:r>
    </w:p>
    <w:p w:rsidR="00BA6AD1" w:rsidRDefault="00BA6AD1">
      <w:pPr>
        <w:tabs>
          <w:tab w:val="left" w:pos="709"/>
        </w:tabs>
      </w:pPr>
    </w:p>
    <w:p w:rsidR="001F03EB" w:rsidRDefault="001F03EB">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1654BC" w:rsidRDefault="001654BC">
      <w:pPr>
        <w:tabs>
          <w:tab w:val="left" w:pos="709"/>
        </w:tabs>
      </w:pPr>
    </w:p>
    <w:p w:rsidR="00BA6AD1" w:rsidRDefault="00BA6AD1">
      <w:pPr>
        <w:numPr>
          <w:ilvl w:val="0"/>
          <w:numId w:val="1"/>
        </w:numPr>
        <w:rPr>
          <w:b/>
        </w:rPr>
      </w:pPr>
      <w:r>
        <w:rPr>
          <w:b/>
        </w:rPr>
        <w:lastRenderedPageBreak/>
        <w:t>REVENUE BUDGET OVERVIEW</w:t>
      </w:r>
    </w:p>
    <w:p w:rsidR="00BA6AD1" w:rsidRDefault="00BA6AD1" w:rsidP="00BA6AD1">
      <w:pPr>
        <w:numPr>
          <w:ilvl w:val="1"/>
          <w:numId w:val="5"/>
        </w:numPr>
      </w:pPr>
      <w:r>
        <w:t xml:space="preserve">The following statement shows the total annual revenue budget </w:t>
      </w:r>
      <w:r w:rsidR="00990830">
        <w:t xml:space="preserve">as </w:t>
      </w:r>
      <w:r>
        <w:t xml:space="preserve">at </w:t>
      </w:r>
      <w:r w:rsidR="008C1B11">
        <w:t>June</w:t>
      </w:r>
      <w:r>
        <w:t xml:space="preserve"> 20</w:t>
      </w:r>
      <w:r w:rsidR="008C1B11">
        <w:t>1</w:t>
      </w:r>
      <w:r>
        <w:t>0:</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1842"/>
      </w:tblGrid>
      <w:tr w:rsidR="008C1B11" w:rsidRPr="00294F35" w:rsidTr="008C1B11">
        <w:tc>
          <w:tcPr>
            <w:tcW w:w="6521" w:type="dxa"/>
            <w:tcBorders>
              <w:right w:val="single" w:sz="4" w:space="0" w:color="auto"/>
            </w:tcBorders>
            <w:shd w:val="clear" w:color="auto" w:fill="31849B"/>
          </w:tcPr>
          <w:p w:rsidR="008C1B11" w:rsidRPr="00294F35" w:rsidRDefault="008C1B11" w:rsidP="008C1B11">
            <w:pPr>
              <w:rPr>
                <w:b/>
                <w:color w:val="FFFFFF"/>
              </w:rPr>
            </w:pPr>
            <w:r w:rsidRPr="00294F35">
              <w:rPr>
                <w:b/>
                <w:color w:val="FFFFFF"/>
              </w:rPr>
              <w:t>2010/11 Revenue Budget</w:t>
            </w:r>
          </w:p>
        </w:tc>
        <w:tc>
          <w:tcPr>
            <w:tcW w:w="1842" w:type="dxa"/>
            <w:tcBorders>
              <w:top w:val="single" w:sz="4" w:space="0" w:color="auto"/>
              <w:left w:val="single" w:sz="4" w:space="0" w:color="auto"/>
            </w:tcBorders>
            <w:shd w:val="clear" w:color="auto" w:fill="31849B"/>
          </w:tcPr>
          <w:p w:rsidR="008C1B11" w:rsidRPr="00294F35" w:rsidRDefault="008C1B11" w:rsidP="008C1B11">
            <w:pPr>
              <w:jc w:val="center"/>
              <w:rPr>
                <w:b/>
                <w:color w:val="FFFFFF"/>
              </w:rPr>
            </w:pPr>
            <w:r w:rsidRPr="00294F35">
              <w:rPr>
                <w:b/>
                <w:color w:val="FFFFFF"/>
              </w:rPr>
              <w:t>£</w:t>
            </w:r>
          </w:p>
        </w:tc>
      </w:tr>
      <w:tr w:rsidR="008C1B11" w:rsidRPr="00294F35" w:rsidTr="008C1B11">
        <w:tc>
          <w:tcPr>
            <w:tcW w:w="6521" w:type="dxa"/>
            <w:tcBorders>
              <w:right w:val="single" w:sz="4" w:space="0" w:color="auto"/>
            </w:tcBorders>
          </w:tcPr>
          <w:p w:rsidR="008C1B11" w:rsidRDefault="008C1B11" w:rsidP="008C1B11">
            <w:r w:rsidRPr="00294F35">
              <w:t xml:space="preserve">Approved Budget (Council resolution – February 2010) </w:t>
            </w:r>
          </w:p>
          <w:p w:rsidR="008C1B11" w:rsidRPr="00294F35" w:rsidRDefault="008C1B11" w:rsidP="008C1B11">
            <w:r>
              <w:t>Carry forwards from 2009/10</w:t>
            </w:r>
          </w:p>
        </w:tc>
        <w:tc>
          <w:tcPr>
            <w:tcW w:w="1842" w:type="dxa"/>
            <w:tcBorders>
              <w:left w:val="single" w:sz="4" w:space="0" w:color="auto"/>
            </w:tcBorders>
          </w:tcPr>
          <w:p w:rsidR="008C1B11" w:rsidRDefault="008C1B11" w:rsidP="008C1B11">
            <w:pPr>
              <w:jc w:val="right"/>
            </w:pPr>
            <w:r w:rsidRPr="00294F35">
              <w:t>18,673,000</w:t>
            </w:r>
          </w:p>
          <w:p w:rsidR="008C1B11" w:rsidRPr="00294F35" w:rsidRDefault="008C1B11" w:rsidP="008C1B11">
            <w:pPr>
              <w:jc w:val="right"/>
            </w:pPr>
            <w:r>
              <w:t>1,518,000</w:t>
            </w:r>
          </w:p>
        </w:tc>
      </w:tr>
      <w:tr w:rsidR="008C1B11" w:rsidRPr="00743587" w:rsidTr="008C1B11">
        <w:tc>
          <w:tcPr>
            <w:tcW w:w="6521" w:type="dxa"/>
            <w:tcBorders>
              <w:top w:val="single" w:sz="4" w:space="0" w:color="auto"/>
              <w:right w:val="single" w:sz="4" w:space="0" w:color="auto"/>
            </w:tcBorders>
          </w:tcPr>
          <w:p w:rsidR="008C1B11" w:rsidRPr="00743587" w:rsidRDefault="008C1B11" w:rsidP="008C1B11">
            <w:pPr>
              <w:rPr>
                <w:b/>
              </w:rPr>
            </w:pPr>
            <w:r w:rsidRPr="00743587">
              <w:rPr>
                <w:b/>
              </w:rPr>
              <w:t>Budget 2010/11 at June 2010</w:t>
            </w:r>
          </w:p>
        </w:tc>
        <w:tc>
          <w:tcPr>
            <w:tcW w:w="1842" w:type="dxa"/>
            <w:tcBorders>
              <w:top w:val="single" w:sz="4" w:space="0" w:color="auto"/>
              <w:left w:val="single" w:sz="4" w:space="0" w:color="auto"/>
            </w:tcBorders>
          </w:tcPr>
          <w:p w:rsidR="008C1B11" w:rsidRPr="00743587" w:rsidRDefault="008C1B11" w:rsidP="008C1B11">
            <w:pPr>
              <w:jc w:val="right"/>
              <w:rPr>
                <w:b/>
              </w:rPr>
            </w:pPr>
            <w:r>
              <w:rPr>
                <w:b/>
              </w:rPr>
              <w:t>20,191,000</w:t>
            </w:r>
          </w:p>
        </w:tc>
      </w:tr>
      <w:tr w:rsidR="008C1B11" w:rsidRPr="00294F35" w:rsidTr="008C1B11">
        <w:tc>
          <w:tcPr>
            <w:tcW w:w="6521" w:type="dxa"/>
            <w:tcBorders>
              <w:top w:val="single" w:sz="4" w:space="0" w:color="auto"/>
              <w:right w:val="single" w:sz="4" w:space="0" w:color="auto"/>
            </w:tcBorders>
          </w:tcPr>
          <w:p w:rsidR="008C1B11" w:rsidRPr="00294F35" w:rsidRDefault="008C1B11" w:rsidP="008C1B11">
            <w:r w:rsidRPr="00294F35">
              <w:t>Use of Reserves (non recurring):</w:t>
            </w:r>
          </w:p>
          <w:p w:rsidR="008C1B11" w:rsidRPr="00294F35" w:rsidRDefault="008C1B11" w:rsidP="008C1B11">
            <w:r w:rsidRPr="00294F35">
              <w:t>EEAC (Fuel Poverty)</w:t>
            </w:r>
          </w:p>
        </w:tc>
        <w:tc>
          <w:tcPr>
            <w:tcW w:w="1842" w:type="dxa"/>
            <w:tcBorders>
              <w:top w:val="single" w:sz="4" w:space="0" w:color="auto"/>
              <w:left w:val="single" w:sz="4" w:space="0" w:color="auto"/>
            </w:tcBorders>
          </w:tcPr>
          <w:p w:rsidR="008C1B11" w:rsidRDefault="008C1B11" w:rsidP="008C1B11">
            <w:pPr>
              <w:jc w:val="right"/>
            </w:pPr>
          </w:p>
          <w:p w:rsidR="008C1B11" w:rsidRPr="00294F35" w:rsidRDefault="008C1B11" w:rsidP="008C1B11">
            <w:pPr>
              <w:jc w:val="right"/>
            </w:pPr>
            <w:r w:rsidRPr="00294F35">
              <w:t>40,000</w:t>
            </w:r>
          </w:p>
        </w:tc>
      </w:tr>
      <w:tr w:rsidR="008C1B11" w:rsidRPr="00294F35" w:rsidTr="008C1B11">
        <w:tc>
          <w:tcPr>
            <w:tcW w:w="6521" w:type="dxa"/>
            <w:tcBorders>
              <w:bottom w:val="nil"/>
              <w:right w:val="single" w:sz="4" w:space="0" w:color="auto"/>
            </w:tcBorders>
          </w:tcPr>
          <w:p w:rsidR="008C1B11" w:rsidRPr="00294F35" w:rsidRDefault="008C1B11" w:rsidP="008C1B11">
            <w:r w:rsidRPr="00294F35">
              <w:t>Job Evaluation (Career Development Support Package)</w:t>
            </w:r>
          </w:p>
        </w:tc>
        <w:tc>
          <w:tcPr>
            <w:tcW w:w="1842" w:type="dxa"/>
            <w:tcBorders>
              <w:left w:val="single" w:sz="4" w:space="0" w:color="auto"/>
              <w:bottom w:val="nil"/>
            </w:tcBorders>
          </w:tcPr>
          <w:p w:rsidR="008C1B11" w:rsidRPr="00294F35" w:rsidRDefault="008C1B11" w:rsidP="008C1B11">
            <w:pPr>
              <w:jc w:val="right"/>
            </w:pPr>
            <w:r w:rsidRPr="00294F35">
              <w:t>75,000</w:t>
            </w:r>
          </w:p>
        </w:tc>
      </w:tr>
      <w:tr w:rsidR="008C1B11" w:rsidRPr="00294F35" w:rsidTr="008C1B11">
        <w:tc>
          <w:tcPr>
            <w:tcW w:w="6521" w:type="dxa"/>
            <w:tcBorders>
              <w:top w:val="nil"/>
              <w:bottom w:val="single" w:sz="4" w:space="0" w:color="auto"/>
              <w:right w:val="single" w:sz="4" w:space="0" w:color="auto"/>
            </w:tcBorders>
          </w:tcPr>
          <w:p w:rsidR="008C1B11" w:rsidRPr="00294F35" w:rsidRDefault="008C1B11" w:rsidP="008C1B11">
            <w:r>
              <w:t>Transformation Reserve (RD21/10 Exec 28.06.10)</w:t>
            </w:r>
          </w:p>
        </w:tc>
        <w:tc>
          <w:tcPr>
            <w:tcW w:w="1842" w:type="dxa"/>
            <w:tcBorders>
              <w:top w:val="nil"/>
              <w:left w:val="single" w:sz="4" w:space="0" w:color="auto"/>
              <w:bottom w:val="single" w:sz="4" w:space="0" w:color="auto"/>
            </w:tcBorders>
          </w:tcPr>
          <w:p w:rsidR="008C1B11" w:rsidRPr="00294F35" w:rsidRDefault="008C1B11" w:rsidP="008C1B11">
            <w:pPr>
              <w:jc w:val="right"/>
            </w:pPr>
            <w:r>
              <w:t>14,100</w:t>
            </w:r>
          </w:p>
        </w:tc>
      </w:tr>
      <w:tr w:rsidR="008C1B11" w:rsidRPr="00B34462" w:rsidTr="008C1B11">
        <w:tc>
          <w:tcPr>
            <w:tcW w:w="6521" w:type="dxa"/>
            <w:tcBorders>
              <w:top w:val="single" w:sz="4" w:space="0" w:color="auto"/>
              <w:bottom w:val="single" w:sz="4" w:space="0" w:color="auto"/>
              <w:right w:val="single" w:sz="4" w:space="0" w:color="auto"/>
            </w:tcBorders>
          </w:tcPr>
          <w:p w:rsidR="008C1B11" w:rsidRPr="00B34462" w:rsidRDefault="008C1B11" w:rsidP="008C1B11">
            <w:pPr>
              <w:rPr>
                <w:b/>
              </w:rPr>
            </w:pPr>
            <w:r w:rsidRPr="00B34462">
              <w:rPr>
                <w:b/>
              </w:rPr>
              <w:t xml:space="preserve">Updated Budget 2010/11 at </w:t>
            </w:r>
            <w:r>
              <w:rPr>
                <w:b/>
              </w:rPr>
              <w:t>June</w:t>
            </w:r>
            <w:r w:rsidRPr="00B34462">
              <w:rPr>
                <w:b/>
              </w:rPr>
              <w:t xml:space="preserve"> 2010</w:t>
            </w:r>
          </w:p>
        </w:tc>
        <w:tc>
          <w:tcPr>
            <w:tcW w:w="1842" w:type="dxa"/>
            <w:tcBorders>
              <w:top w:val="single" w:sz="4" w:space="0" w:color="auto"/>
              <w:left w:val="single" w:sz="4" w:space="0" w:color="auto"/>
              <w:bottom w:val="single" w:sz="4" w:space="0" w:color="auto"/>
            </w:tcBorders>
          </w:tcPr>
          <w:p w:rsidR="008C1B11" w:rsidRPr="00B34462" w:rsidRDefault="008C1B11" w:rsidP="008C1B11">
            <w:pPr>
              <w:jc w:val="right"/>
              <w:rPr>
                <w:b/>
              </w:rPr>
            </w:pPr>
            <w:r w:rsidRPr="00B34462">
              <w:rPr>
                <w:b/>
              </w:rPr>
              <w:t>20,320,100</w:t>
            </w:r>
          </w:p>
        </w:tc>
      </w:tr>
    </w:tbl>
    <w:p w:rsidR="00356B95" w:rsidRDefault="00356B95" w:rsidP="00356B95">
      <w:pPr>
        <w:ind w:left="720"/>
      </w:pPr>
    </w:p>
    <w:p w:rsidR="00BA6AD1" w:rsidRDefault="00BA6AD1" w:rsidP="00BA6AD1">
      <w:pPr>
        <w:ind w:left="720"/>
      </w:pPr>
    </w:p>
    <w:p w:rsidR="00BA6AD1" w:rsidRDefault="00BA6AD1">
      <w:pPr>
        <w:rPr>
          <w:b/>
        </w:rPr>
      </w:pPr>
    </w:p>
    <w:p w:rsidR="00BA6AD1" w:rsidRDefault="00BA6AD1">
      <w:pPr>
        <w:rPr>
          <w:b/>
        </w:rPr>
      </w:pPr>
      <w:r>
        <w:rPr>
          <w:b/>
        </w:rPr>
        <w:t>3.</w:t>
      </w:r>
      <w:r>
        <w:rPr>
          <w:b/>
        </w:rPr>
        <w:tab/>
        <w:t>20</w:t>
      </w:r>
      <w:r w:rsidR="008C1B11">
        <w:rPr>
          <w:b/>
        </w:rPr>
        <w:t>1</w:t>
      </w:r>
      <w:r>
        <w:rPr>
          <w:b/>
        </w:rPr>
        <w:t>0</w:t>
      </w:r>
      <w:r w:rsidR="008C1B11">
        <w:rPr>
          <w:b/>
        </w:rPr>
        <w:t>/11</w:t>
      </w:r>
      <w:r>
        <w:rPr>
          <w:b/>
        </w:rPr>
        <w:t xml:space="preserve"> BUDGET MONITORING</w:t>
      </w:r>
    </w:p>
    <w:p w:rsidR="00BA6AD1" w:rsidRDefault="00BA6AD1">
      <w:pPr>
        <w:numPr>
          <w:ilvl w:val="1"/>
          <w:numId w:val="13"/>
        </w:numPr>
      </w:pPr>
      <w:r>
        <w:t xml:space="preserve">The summarised budgetary position as at </w:t>
      </w:r>
      <w:r w:rsidR="008C1B11">
        <w:t>June</w:t>
      </w:r>
      <w:r>
        <w:t xml:space="preserve"> 20</w:t>
      </w:r>
      <w:r w:rsidR="008C1B11">
        <w:t>1</w:t>
      </w:r>
      <w:r>
        <w:t>0 is shown below:</w:t>
      </w:r>
    </w:p>
    <w:p w:rsidR="00FF7350" w:rsidRDefault="00FF7350" w:rsidP="00E27FD1">
      <w:pPr>
        <w:ind w:left="720"/>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709"/>
        <w:gridCol w:w="1559"/>
        <w:gridCol w:w="1843"/>
        <w:gridCol w:w="1559"/>
        <w:gridCol w:w="1417"/>
      </w:tblGrid>
      <w:tr w:rsidR="005F0908" w:rsidTr="00EE6C35">
        <w:trPr>
          <w:trHeight w:val="1933"/>
        </w:trPr>
        <w:tc>
          <w:tcPr>
            <w:tcW w:w="4395" w:type="dxa"/>
            <w:gridSpan w:val="2"/>
            <w:tcBorders>
              <w:right w:val="single" w:sz="4" w:space="0" w:color="auto"/>
            </w:tcBorders>
            <w:shd w:val="clear" w:color="auto" w:fill="31849B" w:themeFill="accent5" w:themeFillShade="BF"/>
          </w:tcPr>
          <w:p w:rsidR="005F0908" w:rsidRPr="00E378C4" w:rsidRDefault="005F0908" w:rsidP="005F0908">
            <w:pPr>
              <w:rPr>
                <w:b/>
                <w:color w:val="FFFFFF" w:themeColor="background1"/>
                <w:sz w:val="22"/>
                <w:szCs w:val="22"/>
              </w:rPr>
            </w:pPr>
            <w:r w:rsidRPr="00E378C4">
              <w:rPr>
                <w:b/>
                <w:color w:val="FFFFFF" w:themeColor="background1"/>
                <w:sz w:val="22"/>
                <w:szCs w:val="22"/>
              </w:rPr>
              <w:t>Directorate</w:t>
            </w:r>
            <w:r>
              <w:rPr>
                <w:b/>
                <w:color w:val="FFFFFF" w:themeColor="background1"/>
                <w:sz w:val="22"/>
                <w:szCs w:val="22"/>
              </w:rPr>
              <w:t xml:space="preserve"> / Appendix</w:t>
            </w:r>
          </w:p>
        </w:tc>
        <w:tc>
          <w:tcPr>
            <w:tcW w:w="1559" w:type="dxa"/>
            <w:tcBorders>
              <w:left w:val="single" w:sz="4" w:space="0" w:color="auto"/>
            </w:tcBorders>
            <w:shd w:val="clear" w:color="auto" w:fill="31849B" w:themeFill="accent5" w:themeFillShade="BF"/>
          </w:tcPr>
          <w:p w:rsidR="005F0908" w:rsidRPr="00E378C4" w:rsidRDefault="005F0908" w:rsidP="00E31403">
            <w:pPr>
              <w:rPr>
                <w:b/>
                <w:color w:val="FFFFFF" w:themeColor="background1"/>
                <w:sz w:val="22"/>
                <w:szCs w:val="22"/>
              </w:rPr>
            </w:pPr>
            <w:r w:rsidRPr="00E378C4">
              <w:rPr>
                <w:b/>
                <w:color w:val="FFFFFF" w:themeColor="background1"/>
                <w:sz w:val="22"/>
                <w:szCs w:val="22"/>
              </w:rPr>
              <w:t xml:space="preserve">Annual </w:t>
            </w:r>
          </w:p>
          <w:p w:rsidR="005F0908" w:rsidRPr="00E378C4" w:rsidRDefault="005F0908" w:rsidP="00E31403">
            <w:pPr>
              <w:rPr>
                <w:b/>
                <w:color w:val="FFFFFF" w:themeColor="background1"/>
                <w:sz w:val="22"/>
                <w:szCs w:val="22"/>
              </w:rPr>
            </w:pPr>
            <w:r w:rsidRPr="00E378C4">
              <w:rPr>
                <w:b/>
                <w:color w:val="FFFFFF" w:themeColor="background1"/>
                <w:sz w:val="22"/>
                <w:szCs w:val="22"/>
              </w:rPr>
              <w:t xml:space="preserve">Net </w:t>
            </w:r>
          </w:p>
          <w:p w:rsidR="005F0908" w:rsidRPr="00E378C4" w:rsidRDefault="005F0908" w:rsidP="00E31403">
            <w:pPr>
              <w:rPr>
                <w:b/>
                <w:color w:val="FFFFFF" w:themeColor="background1"/>
                <w:sz w:val="22"/>
                <w:szCs w:val="22"/>
              </w:rPr>
            </w:pPr>
            <w:r w:rsidRPr="00E378C4">
              <w:rPr>
                <w:b/>
                <w:color w:val="FFFFFF" w:themeColor="background1"/>
                <w:sz w:val="22"/>
                <w:szCs w:val="22"/>
              </w:rPr>
              <w:t>Budget</w:t>
            </w:r>
            <w:r>
              <w:rPr>
                <w:b/>
                <w:color w:val="FFFFFF" w:themeColor="background1"/>
                <w:sz w:val="22"/>
                <w:szCs w:val="22"/>
              </w:rPr>
              <w:t xml:space="preserve"> </w:t>
            </w:r>
            <w:r w:rsidRPr="00E378C4">
              <w:rPr>
                <w:b/>
                <w:color w:val="FFFFFF" w:themeColor="background1"/>
                <w:sz w:val="22"/>
                <w:szCs w:val="22"/>
              </w:rPr>
              <w:t>(£)</w:t>
            </w:r>
          </w:p>
        </w:tc>
        <w:tc>
          <w:tcPr>
            <w:tcW w:w="1843" w:type="dxa"/>
            <w:shd w:val="clear" w:color="auto" w:fill="31849B" w:themeFill="accent5" w:themeFillShade="BF"/>
          </w:tcPr>
          <w:p w:rsidR="005F0908" w:rsidRPr="00E378C4" w:rsidRDefault="005F0908" w:rsidP="00E31403">
            <w:pPr>
              <w:rPr>
                <w:b/>
                <w:color w:val="FFFFFF" w:themeColor="background1"/>
                <w:sz w:val="22"/>
                <w:szCs w:val="22"/>
              </w:rPr>
            </w:pPr>
            <w:r w:rsidRPr="00E378C4">
              <w:rPr>
                <w:b/>
                <w:color w:val="FFFFFF" w:themeColor="background1"/>
                <w:sz w:val="22"/>
                <w:szCs w:val="22"/>
              </w:rPr>
              <w:t xml:space="preserve">Net </w:t>
            </w:r>
          </w:p>
          <w:p w:rsidR="005F0908" w:rsidRPr="00E378C4" w:rsidRDefault="005F0908" w:rsidP="00E31403">
            <w:pPr>
              <w:rPr>
                <w:b/>
                <w:color w:val="FFFFFF" w:themeColor="background1"/>
                <w:sz w:val="22"/>
                <w:szCs w:val="22"/>
              </w:rPr>
            </w:pPr>
            <w:r w:rsidRPr="00E378C4">
              <w:rPr>
                <w:b/>
                <w:color w:val="FFFFFF" w:themeColor="background1"/>
                <w:sz w:val="22"/>
                <w:szCs w:val="22"/>
              </w:rPr>
              <w:t>Budget</w:t>
            </w:r>
          </w:p>
          <w:p w:rsidR="005F0908" w:rsidRPr="00E378C4" w:rsidRDefault="005F0908" w:rsidP="00E31403">
            <w:pPr>
              <w:rPr>
                <w:b/>
                <w:color w:val="FFFFFF" w:themeColor="background1"/>
                <w:sz w:val="22"/>
                <w:szCs w:val="22"/>
              </w:rPr>
            </w:pPr>
            <w:r w:rsidRPr="00E378C4">
              <w:rPr>
                <w:b/>
                <w:color w:val="FFFFFF" w:themeColor="background1"/>
                <w:sz w:val="22"/>
                <w:szCs w:val="22"/>
              </w:rPr>
              <w:t xml:space="preserve"> to Date</w:t>
            </w:r>
            <w:r>
              <w:rPr>
                <w:b/>
                <w:color w:val="FFFFFF" w:themeColor="background1"/>
                <w:sz w:val="22"/>
                <w:szCs w:val="22"/>
              </w:rPr>
              <w:t xml:space="preserve"> </w:t>
            </w:r>
            <w:r w:rsidRPr="00E378C4">
              <w:rPr>
                <w:b/>
                <w:color w:val="FFFFFF" w:themeColor="background1"/>
                <w:sz w:val="22"/>
                <w:szCs w:val="22"/>
              </w:rPr>
              <w:t>(£)</w:t>
            </w:r>
          </w:p>
        </w:tc>
        <w:tc>
          <w:tcPr>
            <w:tcW w:w="1559" w:type="dxa"/>
            <w:shd w:val="clear" w:color="auto" w:fill="31849B" w:themeFill="accent5" w:themeFillShade="BF"/>
          </w:tcPr>
          <w:p w:rsidR="005F0908" w:rsidRPr="00E378C4" w:rsidRDefault="005F0908" w:rsidP="00E31403">
            <w:pPr>
              <w:rPr>
                <w:b/>
                <w:color w:val="FFFFFF" w:themeColor="background1"/>
                <w:sz w:val="22"/>
                <w:szCs w:val="22"/>
              </w:rPr>
            </w:pPr>
            <w:r w:rsidRPr="00E378C4">
              <w:rPr>
                <w:b/>
                <w:color w:val="FFFFFF" w:themeColor="background1"/>
                <w:sz w:val="22"/>
                <w:szCs w:val="22"/>
              </w:rPr>
              <w:t>Net Expenditure</w:t>
            </w:r>
          </w:p>
          <w:p w:rsidR="005F0908" w:rsidRPr="00E378C4" w:rsidRDefault="005F0908" w:rsidP="00E31403">
            <w:pPr>
              <w:rPr>
                <w:b/>
                <w:color w:val="FFFFFF" w:themeColor="background1"/>
                <w:sz w:val="22"/>
                <w:szCs w:val="22"/>
              </w:rPr>
            </w:pPr>
            <w:r w:rsidRPr="00E378C4">
              <w:rPr>
                <w:b/>
                <w:color w:val="FFFFFF" w:themeColor="background1"/>
                <w:sz w:val="22"/>
                <w:szCs w:val="22"/>
              </w:rPr>
              <w:t>to Date</w:t>
            </w:r>
            <w:r>
              <w:rPr>
                <w:b/>
                <w:color w:val="FFFFFF" w:themeColor="background1"/>
                <w:sz w:val="22"/>
                <w:szCs w:val="22"/>
              </w:rPr>
              <w:t xml:space="preserve"> </w:t>
            </w:r>
            <w:r w:rsidRPr="00E378C4">
              <w:rPr>
                <w:b/>
                <w:color w:val="FFFFFF" w:themeColor="background1"/>
                <w:sz w:val="22"/>
                <w:szCs w:val="22"/>
              </w:rPr>
              <w:t>(£)</w:t>
            </w:r>
          </w:p>
        </w:tc>
        <w:tc>
          <w:tcPr>
            <w:tcW w:w="1417" w:type="dxa"/>
            <w:shd w:val="clear" w:color="auto" w:fill="31849B" w:themeFill="accent5" w:themeFillShade="BF"/>
          </w:tcPr>
          <w:p w:rsidR="005F0908" w:rsidRPr="00E378C4" w:rsidRDefault="005F0908" w:rsidP="00E31403">
            <w:pPr>
              <w:rPr>
                <w:b/>
                <w:color w:val="FFFFFF" w:themeColor="background1"/>
                <w:sz w:val="22"/>
                <w:szCs w:val="22"/>
              </w:rPr>
            </w:pPr>
            <w:r w:rsidRPr="00E378C4">
              <w:rPr>
                <w:b/>
                <w:color w:val="FFFFFF" w:themeColor="background1"/>
                <w:sz w:val="22"/>
                <w:szCs w:val="22"/>
              </w:rPr>
              <w:t>Adjusted Variance</w:t>
            </w:r>
          </w:p>
          <w:p w:rsidR="005F0908" w:rsidRPr="00E378C4" w:rsidRDefault="005F0908" w:rsidP="00E31403">
            <w:pPr>
              <w:rPr>
                <w:b/>
                <w:color w:val="FFFFFF" w:themeColor="background1"/>
                <w:sz w:val="22"/>
                <w:szCs w:val="22"/>
              </w:rPr>
            </w:pPr>
            <w:r w:rsidRPr="00E378C4">
              <w:rPr>
                <w:b/>
                <w:color w:val="FFFFFF" w:themeColor="background1"/>
                <w:sz w:val="22"/>
                <w:szCs w:val="22"/>
              </w:rPr>
              <w:t>(£)</w:t>
            </w:r>
          </w:p>
        </w:tc>
      </w:tr>
      <w:tr w:rsidR="005F0908" w:rsidTr="005F0908">
        <w:tc>
          <w:tcPr>
            <w:tcW w:w="3686" w:type="dxa"/>
            <w:tcBorders>
              <w:bottom w:val="single" w:sz="4" w:space="0" w:color="auto"/>
              <w:right w:val="nil"/>
            </w:tcBorders>
          </w:tcPr>
          <w:p w:rsidR="005F0908" w:rsidRPr="00DE4920" w:rsidRDefault="005F0908" w:rsidP="0052080A">
            <w:pPr>
              <w:pStyle w:val="Header"/>
              <w:tabs>
                <w:tab w:val="clear" w:pos="4153"/>
                <w:tab w:val="clear" w:pos="8306"/>
              </w:tabs>
              <w:spacing w:line="120" w:lineRule="auto"/>
            </w:pPr>
          </w:p>
        </w:tc>
        <w:tc>
          <w:tcPr>
            <w:tcW w:w="709" w:type="dxa"/>
            <w:tcBorders>
              <w:top w:val="single" w:sz="4" w:space="0" w:color="auto"/>
              <w:left w:val="nil"/>
              <w:bottom w:val="single" w:sz="4" w:space="0" w:color="auto"/>
              <w:right w:val="single" w:sz="4" w:space="0" w:color="auto"/>
            </w:tcBorders>
          </w:tcPr>
          <w:p w:rsidR="005F0908" w:rsidRPr="00FC157C" w:rsidRDefault="005F0908" w:rsidP="0052080A">
            <w:pPr>
              <w:spacing w:line="120" w:lineRule="auto"/>
              <w:jc w:val="right"/>
              <w:rPr>
                <w:sz w:val="22"/>
                <w:szCs w:val="22"/>
              </w:rPr>
            </w:pPr>
          </w:p>
        </w:tc>
        <w:tc>
          <w:tcPr>
            <w:tcW w:w="1559" w:type="dxa"/>
            <w:tcBorders>
              <w:left w:val="single" w:sz="4" w:space="0" w:color="auto"/>
              <w:bottom w:val="single" w:sz="4" w:space="0" w:color="auto"/>
            </w:tcBorders>
          </w:tcPr>
          <w:p w:rsidR="005F0908" w:rsidRPr="00FC157C" w:rsidRDefault="005F0908" w:rsidP="0052080A">
            <w:pPr>
              <w:spacing w:line="120" w:lineRule="auto"/>
              <w:jc w:val="right"/>
              <w:rPr>
                <w:sz w:val="22"/>
                <w:szCs w:val="22"/>
              </w:rPr>
            </w:pPr>
          </w:p>
        </w:tc>
        <w:tc>
          <w:tcPr>
            <w:tcW w:w="1843" w:type="dxa"/>
          </w:tcPr>
          <w:p w:rsidR="005F0908" w:rsidRPr="00FC157C" w:rsidRDefault="005F0908" w:rsidP="0052080A">
            <w:pPr>
              <w:spacing w:line="120" w:lineRule="auto"/>
              <w:jc w:val="right"/>
              <w:rPr>
                <w:sz w:val="22"/>
                <w:szCs w:val="22"/>
              </w:rPr>
            </w:pPr>
          </w:p>
        </w:tc>
        <w:tc>
          <w:tcPr>
            <w:tcW w:w="1559" w:type="dxa"/>
          </w:tcPr>
          <w:p w:rsidR="005F0908" w:rsidRPr="00FC157C" w:rsidRDefault="005F0908" w:rsidP="0052080A">
            <w:pPr>
              <w:spacing w:line="120" w:lineRule="auto"/>
              <w:jc w:val="right"/>
              <w:rPr>
                <w:sz w:val="22"/>
                <w:szCs w:val="22"/>
              </w:rPr>
            </w:pPr>
          </w:p>
        </w:tc>
        <w:tc>
          <w:tcPr>
            <w:tcW w:w="1417" w:type="dxa"/>
          </w:tcPr>
          <w:p w:rsidR="005F0908" w:rsidRPr="00FC157C" w:rsidRDefault="005F0908" w:rsidP="0052080A">
            <w:pPr>
              <w:spacing w:line="120" w:lineRule="auto"/>
              <w:jc w:val="right"/>
              <w:rPr>
                <w:sz w:val="22"/>
                <w:szCs w:val="22"/>
              </w:rPr>
            </w:pPr>
          </w:p>
        </w:tc>
      </w:tr>
      <w:tr w:rsidR="005F0908" w:rsidTr="005F0908">
        <w:tc>
          <w:tcPr>
            <w:tcW w:w="3686" w:type="dxa"/>
            <w:tcBorders>
              <w:top w:val="single" w:sz="4" w:space="0" w:color="auto"/>
              <w:bottom w:val="single" w:sz="4" w:space="0" w:color="auto"/>
              <w:right w:val="nil"/>
            </w:tcBorders>
          </w:tcPr>
          <w:p w:rsidR="005F0908" w:rsidRPr="00DE4920" w:rsidRDefault="005F0908" w:rsidP="005F0908">
            <w:pPr>
              <w:pStyle w:val="Header"/>
              <w:tabs>
                <w:tab w:val="clear" w:pos="4153"/>
                <w:tab w:val="clear" w:pos="8306"/>
              </w:tabs>
              <w:spacing w:line="240" w:lineRule="auto"/>
            </w:pPr>
            <w:r w:rsidRPr="00DE4920">
              <w:t>Chief Executive’s Team</w:t>
            </w:r>
          </w:p>
        </w:tc>
        <w:tc>
          <w:tcPr>
            <w:tcW w:w="709" w:type="dxa"/>
            <w:tcBorders>
              <w:top w:val="single" w:sz="4" w:space="0" w:color="auto"/>
              <w:left w:val="nil"/>
              <w:bottom w:val="single" w:sz="4" w:space="0" w:color="auto"/>
              <w:right w:val="single" w:sz="4" w:space="0" w:color="auto"/>
            </w:tcBorders>
          </w:tcPr>
          <w:p w:rsidR="005F0908" w:rsidRDefault="005F0908" w:rsidP="00FC157C">
            <w:pPr>
              <w:jc w:val="right"/>
              <w:rPr>
                <w:sz w:val="22"/>
                <w:szCs w:val="22"/>
              </w:rPr>
            </w:pPr>
            <w:r>
              <w:rPr>
                <w:sz w:val="22"/>
                <w:szCs w:val="22"/>
              </w:rPr>
              <w:t>A1</w:t>
            </w:r>
          </w:p>
        </w:tc>
        <w:tc>
          <w:tcPr>
            <w:tcW w:w="1559" w:type="dxa"/>
            <w:tcBorders>
              <w:top w:val="single" w:sz="4" w:space="0" w:color="auto"/>
              <w:left w:val="single" w:sz="4" w:space="0" w:color="auto"/>
              <w:bottom w:val="single" w:sz="4" w:space="0" w:color="auto"/>
            </w:tcBorders>
          </w:tcPr>
          <w:p w:rsidR="005F0908" w:rsidRPr="00FC157C" w:rsidRDefault="005F0908" w:rsidP="00FC157C">
            <w:pPr>
              <w:jc w:val="right"/>
              <w:rPr>
                <w:sz w:val="22"/>
                <w:szCs w:val="22"/>
              </w:rPr>
            </w:pPr>
            <w:r>
              <w:rPr>
                <w:sz w:val="22"/>
                <w:szCs w:val="22"/>
              </w:rPr>
              <w:t>167,700</w:t>
            </w:r>
          </w:p>
        </w:tc>
        <w:tc>
          <w:tcPr>
            <w:tcW w:w="1843" w:type="dxa"/>
          </w:tcPr>
          <w:p w:rsidR="005F0908" w:rsidRPr="00FC157C" w:rsidRDefault="005F0908" w:rsidP="00FC157C">
            <w:pPr>
              <w:jc w:val="right"/>
              <w:rPr>
                <w:sz w:val="22"/>
                <w:szCs w:val="22"/>
              </w:rPr>
            </w:pPr>
            <w:r>
              <w:rPr>
                <w:sz w:val="22"/>
                <w:szCs w:val="22"/>
              </w:rPr>
              <w:t>39,284</w:t>
            </w:r>
          </w:p>
        </w:tc>
        <w:tc>
          <w:tcPr>
            <w:tcW w:w="1559" w:type="dxa"/>
          </w:tcPr>
          <w:p w:rsidR="005F0908" w:rsidRPr="00FC157C" w:rsidRDefault="005F0908" w:rsidP="00FC157C">
            <w:pPr>
              <w:jc w:val="right"/>
              <w:rPr>
                <w:sz w:val="22"/>
                <w:szCs w:val="22"/>
              </w:rPr>
            </w:pPr>
            <w:r>
              <w:rPr>
                <w:sz w:val="22"/>
                <w:szCs w:val="22"/>
              </w:rPr>
              <w:t>28,328</w:t>
            </w:r>
          </w:p>
        </w:tc>
        <w:tc>
          <w:tcPr>
            <w:tcW w:w="1417" w:type="dxa"/>
          </w:tcPr>
          <w:p w:rsidR="005F0908" w:rsidRPr="00FC157C" w:rsidRDefault="005F0908" w:rsidP="00163438">
            <w:pPr>
              <w:jc w:val="right"/>
              <w:rPr>
                <w:sz w:val="22"/>
                <w:szCs w:val="22"/>
              </w:rPr>
            </w:pPr>
            <w:r>
              <w:rPr>
                <w:sz w:val="22"/>
                <w:szCs w:val="22"/>
              </w:rPr>
              <w:t>(10,956)</w:t>
            </w:r>
          </w:p>
        </w:tc>
      </w:tr>
      <w:tr w:rsidR="005F0908" w:rsidTr="005F0908">
        <w:tc>
          <w:tcPr>
            <w:tcW w:w="3686" w:type="dxa"/>
            <w:tcBorders>
              <w:top w:val="single" w:sz="4" w:space="0" w:color="auto"/>
              <w:right w:val="nil"/>
            </w:tcBorders>
          </w:tcPr>
          <w:p w:rsidR="005F0908" w:rsidRPr="00DE4920" w:rsidRDefault="005F0908" w:rsidP="005F0908">
            <w:r w:rsidRPr="00DE4920">
              <w:t>Deputy Chief Executive</w:t>
            </w:r>
          </w:p>
        </w:tc>
        <w:tc>
          <w:tcPr>
            <w:tcW w:w="709" w:type="dxa"/>
            <w:tcBorders>
              <w:top w:val="single" w:sz="4" w:space="0" w:color="auto"/>
              <w:left w:val="nil"/>
              <w:bottom w:val="single" w:sz="4" w:space="0" w:color="auto"/>
              <w:right w:val="single" w:sz="4" w:space="0" w:color="auto"/>
            </w:tcBorders>
          </w:tcPr>
          <w:p w:rsidR="005F0908" w:rsidRDefault="005F0908" w:rsidP="00E378C4">
            <w:pPr>
              <w:jc w:val="right"/>
              <w:rPr>
                <w:sz w:val="22"/>
                <w:szCs w:val="22"/>
              </w:rPr>
            </w:pPr>
            <w:r>
              <w:rPr>
                <w:sz w:val="22"/>
                <w:szCs w:val="22"/>
              </w:rPr>
              <w:t>A2</w:t>
            </w:r>
          </w:p>
        </w:tc>
        <w:tc>
          <w:tcPr>
            <w:tcW w:w="1559" w:type="dxa"/>
            <w:tcBorders>
              <w:top w:val="single" w:sz="4" w:space="0" w:color="auto"/>
              <w:left w:val="single" w:sz="4" w:space="0" w:color="auto"/>
              <w:bottom w:val="single" w:sz="4" w:space="0" w:color="auto"/>
            </w:tcBorders>
            <w:vAlign w:val="bottom"/>
          </w:tcPr>
          <w:p w:rsidR="005F0908" w:rsidRPr="00FC157C" w:rsidRDefault="005F0908" w:rsidP="00E378C4">
            <w:pPr>
              <w:jc w:val="right"/>
              <w:rPr>
                <w:sz w:val="22"/>
                <w:szCs w:val="22"/>
              </w:rPr>
            </w:pPr>
            <w:r>
              <w:rPr>
                <w:sz w:val="22"/>
                <w:szCs w:val="22"/>
              </w:rPr>
              <w:t>115,400</w:t>
            </w:r>
          </w:p>
        </w:tc>
        <w:tc>
          <w:tcPr>
            <w:tcW w:w="1843" w:type="dxa"/>
            <w:vAlign w:val="bottom"/>
          </w:tcPr>
          <w:p w:rsidR="005F0908" w:rsidRPr="00FC157C" w:rsidRDefault="005F0908" w:rsidP="00E378C4">
            <w:pPr>
              <w:jc w:val="right"/>
              <w:rPr>
                <w:sz w:val="22"/>
                <w:szCs w:val="22"/>
              </w:rPr>
            </w:pPr>
            <w:r>
              <w:rPr>
                <w:sz w:val="22"/>
                <w:szCs w:val="22"/>
              </w:rPr>
              <w:t>28,962</w:t>
            </w:r>
          </w:p>
        </w:tc>
        <w:tc>
          <w:tcPr>
            <w:tcW w:w="1559" w:type="dxa"/>
            <w:vAlign w:val="bottom"/>
          </w:tcPr>
          <w:p w:rsidR="005F0908" w:rsidRPr="00FC157C" w:rsidRDefault="005F0908" w:rsidP="00E378C4">
            <w:pPr>
              <w:jc w:val="right"/>
              <w:rPr>
                <w:sz w:val="22"/>
                <w:szCs w:val="22"/>
              </w:rPr>
            </w:pPr>
            <w:r>
              <w:rPr>
                <w:sz w:val="22"/>
                <w:szCs w:val="22"/>
              </w:rPr>
              <w:t>28,295</w:t>
            </w:r>
          </w:p>
        </w:tc>
        <w:tc>
          <w:tcPr>
            <w:tcW w:w="1417" w:type="dxa"/>
            <w:vAlign w:val="bottom"/>
          </w:tcPr>
          <w:p w:rsidR="005F0908" w:rsidRPr="00FC157C" w:rsidRDefault="005F0908" w:rsidP="0022398C">
            <w:pPr>
              <w:jc w:val="right"/>
              <w:rPr>
                <w:sz w:val="22"/>
                <w:szCs w:val="22"/>
              </w:rPr>
            </w:pPr>
            <w:r>
              <w:rPr>
                <w:sz w:val="22"/>
                <w:szCs w:val="22"/>
              </w:rPr>
              <w:t>(667)</w:t>
            </w:r>
          </w:p>
        </w:tc>
      </w:tr>
      <w:tr w:rsidR="005F0908" w:rsidTr="005F0908">
        <w:tc>
          <w:tcPr>
            <w:tcW w:w="3686" w:type="dxa"/>
            <w:tcBorders>
              <w:right w:val="nil"/>
            </w:tcBorders>
          </w:tcPr>
          <w:p w:rsidR="005F0908" w:rsidRPr="00DE4920" w:rsidRDefault="005F0908" w:rsidP="005F0908">
            <w:r w:rsidRPr="00DE4920">
              <w:t>Governance</w:t>
            </w:r>
            <w:r>
              <w:t xml:space="preserve">    </w:t>
            </w:r>
          </w:p>
        </w:tc>
        <w:tc>
          <w:tcPr>
            <w:tcW w:w="709" w:type="dxa"/>
            <w:tcBorders>
              <w:top w:val="single" w:sz="4" w:space="0" w:color="auto"/>
              <w:left w:val="nil"/>
              <w:bottom w:val="single" w:sz="4" w:space="0" w:color="auto"/>
              <w:right w:val="single" w:sz="4" w:space="0" w:color="auto"/>
            </w:tcBorders>
          </w:tcPr>
          <w:p w:rsidR="005F0908" w:rsidRDefault="005F0908" w:rsidP="00E378C4">
            <w:pPr>
              <w:pStyle w:val="Header"/>
              <w:tabs>
                <w:tab w:val="clear" w:pos="4153"/>
                <w:tab w:val="clear" w:pos="8306"/>
              </w:tabs>
              <w:spacing w:line="240" w:lineRule="auto"/>
              <w:jc w:val="right"/>
              <w:rPr>
                <w:sz w:val="22"/>
                <w:szCs w:val="22"/>
              </w:rPr>
            </w:pPr>
            <w:r>
              <w:rPr>
                <w:sz w:val="22"/>
                <w:szCs w:val="22"/>
              </w:rPr>
              <w:t>A3</w:t>
            </w:r>
          </w:p>
        </w:tc>
        <w:tc>
          <w:tcPr>
            <w:tcW w:w="1559" w:type="dxa"/>
            <w:tcBorders>
              <w:top w:val="single" w:sz="4" w:space="0" w:color="auto"/>
              <w:left w:val="single" w:sz="4" w:space="0" w:color="auto"/>
            </w:tcBorders>
            <w:vAlign w:val="bottom"/>
          </w:tcPr>
          <w:p w:rsidR="005F0908" w:rsidRPr="00FC157C" w:rsidRDefault="005F0908" w:rsidP="00E378C4">
            <w:pPr>
              <w:pStyle w:val="Header"/>
              <w:tabs>
                <w:tab w:val="clear" w:pos="4153"/>
                <w:tab w:val="clear" w:pos="8306"/>
              </w:tabs>
              <w:spacing w:line="240" w:lineRule="auto"/>
              <w:jc w:val="right"/>
              <w:rPr>
                <w:sz w:val="22"/>
                <w:szCs w:val="22"/>
              </w:rPr>
            </w:pPr>
            <w:r>
              <w:rPr>
                <w:sz w:val="22"/>
                <w:szCs w:val="22"/>
              </w:rPr>
              <w:t>2,817,200</w:t>
            </w:r>
          </w:p>
        </w:tc>
        <w:tc>
          <w:tcPr>
            <w:tcW w:w="1843" w:type="dxa"/>
            <w:vAlign w:val="bottom"/>
          </w:tcPr>
          <w:p w:rsidR="005F0908" w:rsidRPr="00FC157C" w:rsidRDefault="005F0908" w:rsidP="00E378C4">
            <w:pPr>
              <w:pStyle w:val="Header"/>
              <w:tabs>
                <w:tab w:val="clear" w:pos="4153"/>
                <w:tab w:val="clear" w:pos="8306"/>
              </w:tabs>
              <w:spacing w:line="240" w:lineRule="auto"/>
              <w:jc w:val="right"/>
              <w:rPr>
                <w:sz w:val="22"/>
                <w:szCs w:val="22"/>
              </w:rPr>
            </w:pPr>
            <w:r>
              <w:rPr>
                <w:sz w:val="22"/>
                <w:szCs w:val="22"/>
              </w:rPr>
              <w:t>803,295</w:t>
            </w:r>
          </w:p>
        </w:tc>
        <w:tc>
          <w:tcPr>
            <w:tcW w:w="1559" w:type="dxa"/>
            <w:vAlign w:val="bottom"/>
          </w:tcPr>
          <w:p w:rsidR="005F0908" w:rsidRPr="00FC157C" w:rsidRDefault="005F0908" w:rsidP="005E391D">
            <w:pPr>
              <w:jc w:val="right"/>
              <w:rPr>
                <w:sz w:val="22"/>
                <w:szCs w:val="22"/>
              </w:rPr>
            </w:pPr>
            <w:r>
              <w:rPr>
                <w:sz w:val="22"/>
                <w:szCs w:val="22"/>
              </w:rPr>
              <w:t>766,28</w:t>
            </w:r>
            <w:r w:rsidR="005E391D">
              <w:rPr>
                <w:sz w:val="22"/>
                <w:szCs w:val="22"/>
              </w:rPr>
              <w:t>1</w:t>
            </w:r>
          </w:p>
        </w:tc>
        <w:tc>
          <w:tcPr>
            <w:tcW w:w="1417" w:type="dxa"/>
            <w:vAlign w:val="bottom"/>
          </w:tcPr>
          <w:p w:rsidR="005F0908" w:rsidRPr="00FC157C" w:rsidRDefault="005F0908" w:rsidP="005E391D">
            <w:pPr>
              <w:jc w:val="right"/>
              <w:rPr>
                <w:sz w:val="22"/>
                <w:szCs w:val="22"/>
              </w:rPr>
            </w:pPr>
            <w:r>
              <w:rPr>
                <w:sz w:val="22"/>
                <w:szCs w:val="22"/>
              </w:rPr>
              <w:t>(37,01</w:t>
            </w:r>
            <w:r w:rsidR="005E391D">
              <w:rPr>
                <w:sz w:val="22"/>
                <w:szCs w:val="22"/>
              </w:rPr>
              <w:t>4</w:t>
            </w:r>
            <w:r>
              <w:rPr>
                <w:sz w:val="22"/>
                <w:szCs w:val="22"/>
              </w:rPr>
              <w:t>)</w:t>
            </w:r>
          </w:p>
        </w:tc>
      </w:tr>
      <w:tr w:rsidR="005F0908" w:rsidTr="005F0908">
        <w:trPr>
          <w:trHeight w:val="77"/>
        </w:trPr>
        <w:tc>
          <w:tcPr>
            <w:tcW w:w="3686" w:type="dxa"/>
            <w:tcBorders>
              <w:right w:val="nil"/>
            </w:tcBorders>
          </w:tcPr>
          <w:p w:rsidR="005F0908" w:rsidRPr="00DE4920" w:rsidRDefault="005F0908" w:rsidP="005F0908">
            <w:r w:rsidRPr="00DE4920">
              <w:t>Resources</w:t>
            </w:r>
            <w:r>
              <w:t xml:space="preserve">          </w:t>
            </w:r>
          </w:p>
        </w:tc>
        <w:tc>
          <w:tcPr>
            <w:tcW w:w="709" w:type="dxa"/>
            <w:tcBorders>
              <w:top w:val="single" w:sz="4" w:space="0" w:color="auto"/>
              <w:left w:val="nil"/>
              <w:bottom w:val="single" w:sz="4" w:space="0" w:color="auto"/>
              <w:right w:val="single" w:sz="4" w:space="0" w:color="auto"/>
            </w:tcBorders>
          </w:tcPr>
          <w:p w:rsidR="005F0908" w:rsidRDefault="005F0908" w:rsidP="00E378C4">
            <w:pPr>
              <w:jc w:val="right"/>
              <w:rPr>
                <w:sz w:val="22"/>
                <w:szCs w:val="22"/>
              </w:rPr>
            </w:pPr>
            <w:r>
              <w:rPr>
                <w:sz w:val="22"/>
                <w:szCs w:val="22"/>
              </w:rPr>
              <w:t>A4</w:t>
            </w:r>
          </w:p>
        </w:tc>
        <w:tc>
          <w:tcPr>
            <w:tcW w:w="1559" w:type="dxa"/>
            <w:tcBorders>
              <w:left w:val="single" w:sz="4" w:space="0" w:color="auto"/>
              <w:bottom w:val="single" w:sz="4" w:space="0" w:color="auto"/>
            </w:tcBorders>
            <w:vAlign w:val="bottom"/>
          </w:tcPr>
          <w:p w:rsidR="005F0908" w:rsidRPr="00FC157C" w:rsidRDefault="005F0908" w:rsidP="00E378C4">
            <w:pPr>
              <w:jc w:val="right"/>
              <w:rPr>
                <w:sz w:val="22"/>
                <w:szCs w:val="22"/>
              </w:rPr>
            </w:pPr>
            <w:r>
              <w:rPr>
                <w:sz w:val="22"/>
                <w:szCs w:val="22"/>
              </w:rPr>
              <w:t>(1,214,800)</w:t>
            </w:r>
          </w:p>
        </w:tc>
        <w:tc>
          <w:tcPr>
            <w:tcW w:w="1843" w:type="dxa"/>
            <w:vAlign w:val="bottom"/>
          </w:tcPr>
          <w:p w:rsidR="005F0908" w:rsidRPr="00FC157C" w:rsidRDefault="005F0908" w:rsidP="00E378C4">
            <w:pPr>
              <w:jc w:val="right"/>
              <w:rPr>
                <w:sz w:val="22"/>
                <w:szCs w:val="22"/>
              </w:rPr>
            </w:pPr>
            <w:r>
              <w:rPr>
                <w:sz w:val="22"/>
                <w:szCs w:val="22"/>
              </w:rPr>
              <w:t>3,780,428</w:t>
            </w:r>
          </w:p>
        </w:tc>
        <w:tc>
          <w:tcPr>
            <w:tcW w:w="1559" w:type="dxa"/>
            <w:vAlign w:val="bottom"/>
          </w:tcPr>
          <w:p w:rsidR="005F0908" w:rsidRPr="00FC157C" w:rsidRDefault="005F0908" w:rsidP="005E391D">
            <w:pPr>
              <w:jc w:val="right"/>
              <w:rPr>
                <w:sz w:val="22"/>
                <w:szCs w:val="22"/>
              </w:rPr>
            </w:pPr>
            <w:r>
              <w:rPr>
                <w:sz w:val="22"/>
                <w:szCs w:val="22"/>
              </w:rPr>
              <w:t>3,373,37</w:t>
            </w:r>
            <w:r w:rsidR="005E391D">
              <w:rPr>
                <w:sz w:val="22"/>
                <w:szCs w:val="22"/>
              </w:rPr>
              <w:t>1</w:t>
            </w:r>
          </w:p>
        </w:tc>
        <w:tc>
          <w:tcPr>
            <w:tcW w:w="1417" w:type="dxa"/>
            <w:vAlign w:val="bottom"/>
          </w:tcPr>
          <w:p w:rsidR="005F0908" w:rsidRPr="00FC157C" w:rsidRDefault="005F0908" w:rsidP="005E391D">
            <w:pPr>
              <w:jc w:val="right"/>
              <w:rPr>
                <w:sz w:val="22"/>
                <w:szCs w:val="22"/>
              </w:rPr>
            </w:pPr>
            <w:r>
              <w:rPr>
                <w:sz w:val="22"/>
                <w:szCs w:val="22"/>
              </w:rPr>
              <w:t>(407,05</w:t>
            </w:r>
            <w:r w:rsidR="005E391D">
              <w:rPr>
                <w:sz w:val="22"/>
                <w:szCs w:val="22"/>
              </w:rPr>
              <w:t>7</w:t>
            </w:r>
            <w:r>
              <w:rPr>
                <w:sz w:val="22"/>
                <w:szCs w:val="22"/>
              </w:rPr>
              <w:t>)</w:t>
            </w:r>
          </w:p>
        </w:tc>
      </w:tr>
      <w:tr w:rsidR="005F0908" w:rsidTr="005F0908">
        <w:tc>
          <w:tcPr>
            <w:tcW w:w="3686" w:type="dxa"/>
            <w:tcBorders>
              <w:right w:val="nil"/>
            </w:tcBorders>
          </w:tcPr>
          <w:p w:rsidR="005F0908" w:rsidRPr="00DE4920" w:rsidRDefault="005F0908" w:rsidP="005F0908">
            <w:r w:rsidRPr="00DE4920">
              <w:t>Strategic Director</w:t>
            </w:r>
          </w:p>
        </w:tc>
        <w:tc>
          <w:tcPr>
            <w:tcW w:w="709" w:type="dxa"/>
            <w:tcBorders>
              <w:top w:val="single" w:sz="4" w:space="0" w:color="auto"/>
              <w:left w:val="nil"/>
              <w:bottom w:val="single" w:sz="4" w:space="0" w:color="auto"/>
              <w:right w:val="single" w:sz="4" w:space="0" w:color="auto"/>
            </w:tcBorders>
          </w:tcPr>
          <w:p w:rsidR="005F0908" w:rsidRDefault="005F0908" w:rsidP="00E378C4">
            <w:pPr>
              <w:jc w:val="right"/>
              <w:rPr>
                <w:sz w:val="22"/>
                <w:szCs w:val="22"/>
              </w:rPr>
            </w:pPr>
            <w:r>
              <w:rPr>
                <w:sz w:val="22"/>
                <w:szCs w:val="22"/>
              </w:rPr>
              <w:t>A5</w:t>
            </w:r>
          </w:p>
        </w:tc>
        <w:tc>
          <w:tcPr>
            <w:tcW w:w="1559" w:type="dxa"/>
            <w:tcBorders>
              <w:top w:val="single" w:sz="4" w:space="0" w:color="auto"/>
              <w:left w:val="single" w:sz="4" w:space="0" w:color="auto"/>
            </w:tcBorders>
            <w:vAlign w:val="bottom"/>
          </w:tcPr>
          <w:p w:rsidR="005F0908" w:rsidRPr="00FC157C" w:rsidRDefault="005F0908" w:rsidP="00E378C4">
            <w:pPr>
              <w:jc w:val="right"/>
              <w:rPr>
                <w:sz w:val="22"/>
                <w:szCs w:val="22"/>
              </w:rPr>
            </w:pPr>
            <w:r>
              <w:rPr>
                <w:sz w:val="22"/>
                <w:szCs w:val="22"/>
              </w:rPr>
              <w:t>(34,200)</w:t>
            </w:r>
          </w:p>
        </w:tc>
        <w:tc>
          <w:tcPr>
            <w:tcW w:w="1843" w:type="dxa"/>
            <w:vAlign w:val="bottom"/>
          </w:tcPr>
          <w:p w:rsidR="005F0908" w:rsidRPr="00FC157C" w:rsidRDefault="005F0908" w:rsidP="00E378C4">
            <w:pPr>
              <w:jc w:val="right"/>
              <w:rPr>
                <w:sz w:val="22"/>
                <w:szCs w:val="22"/>
              </w:rPr>
            </w:pPr>
            <w:r>
              <w:rPr>
                <w:sz w:val="22"/>
                <w:szCs w:val="22"/>
              </w:rPr>
              <w:t>(8,655)</w:t>
            </w:r>
          </w:p>
        </w:tc>
        <w:tc>
          <w:tcPr>
            <w:tcW w:w="1559" w:type="dxa"/>
            <w:vAlign w:val="bottom"/>
          </w:tcPr>
          <w:p w:rsidR="005F0908" w:rsidRPr="00FC157C" w:rsidRDefault="005F0908" w:rsidP="00E378C4">
            <w:pPr>
              <w:jc w:val="right"/>
              <w:rPr>
                <w:sz w:val="22"/>
                <w:szCs w:val="22"/>
              </w:rPr>
            </w:pPr>
            <w:r>
              <w:rPr>
                <w:sz w:val="22"/>
                <w:szCs w:val="22"/>
              </w:rPr>
              <w:t>(13,096)</w:t>
            </w:r>
          </w:p>
        </w:tc>
        <w:tc>
          <w:tcPr>
            <w:tcW w:w="1417" w:type="dxa"/>
            <w:vAlign w:val="bottom"/>
          </w:tcPr>
          <w:p w:rsidR="005F0908" w:rsidRPr="00FC157C" w:rsidRDefault="005F0908" w:rsidP="00E378C4">
            <w:pPr>
              <w:jc w:val="right"/>
              <w:rPr>
                <w:sz w:val="22"/>
                <w:szCs w:val="22"/>
              </w:rPr>
            </w:pPr>
            <w:r>
              <w:rPr>
                <w:sz w:val="22"/>
                <w:szCs w:val="22"/>
              </w:rPr>
              <w:t>(4,441)</w:t>
            </w:r>
          </w:p>
        </w:tc>
      </w:tr>
      <w:tr w:rsidR="005F0908" w:rsidTr="005F0908">
        <w:tc>
          <w:tcPr>
            <w:tcW w:w="3686" w:type="dxa"/>
            <w:tcBorders>
              <w:right w:val="nil"/>
            </w:tcBorders>
          </w:tcPr>
          <w:p w:rsidR="005F0908" w:rsidRPr="00DE4920" w:rsidRDefault="005F0908" w:rsidP="005F0908">
            <w:r w:rsidRPr="00DE4920">
              <w:t>Community Engagement</w:t>
            </w:r>
          </w:p>
        </w:tc>
        <w:tc>
          <w:tcPr>
            <w:tcW w:w="709" w:type="dxa"/>
            <w:tcBorders>
              <w:top w:val="single" w:sz="4" w:space="0" w:color="auto"/>
              <w:left w:val="nil"/>
              <w:bottom w:val="single" w:sz="4" w:space="0" w:color="auto"/>
              <w:right w:val="single" w:sz="4" w:space="0" w:color="auto"/>
            </w:tcBorders>
          </w:tcPr>
          <w:p w:rsidR="005F0908" w:rsidRDefault="005F0908" w:rsidP="00E378C4">
            <w:pPr>
              <w:jc w:val="right"/>
              <w:rPr>
                <w:sz w:val="22"/>
                <w:szCs w:val="22"/>
              </w:rPr>
            </w:pPr>
            <w:r>
              <w:rPr>
                <w:sz w:val="22"/>
                <w:szCs w:val="22"/>
              </w:rPr>
              <w:t>A6</w:t>
            </w:r>
          </w:p>
        </w:tc>
        <w:tc>
          <w:tcPr>
            <w:tcW w:w="1559" w:type="dxa"/>
            <w:tcBorders>
              <w:left w:val="single" w:sz="4" w:space="0" w:color="auto"/>
              <w:bottom w:val="single" w:sz="4" w:space="0" w:color="auto"/>
            </w:tcBorders>
            <w:vAlign w:val="bottom"/>
          </w:tcPr>
          <w:p w:rsidR="005F0908" w:rsidRPr="00FC157C" w:rsidRDefault="005F0908" w:rsidP="00E378C4">
            <w:pPr>
              <w:jc w:val="right"/>
              <w:rPr>
                <w:sz w:val="22"/>
                <w:szCs w:val="22"/>
              </w:rPr>
            </w:pPr>
            <w:r>
              <w:rPr>
                <w:sz w:val="22"/>
                <w:szCs w:val="22"/>
              </w:rPr>
              <w:t>8,427,700</w:t>
            </w:r>
          </w:p>
        </w:tc>
        <w:tc>
          <w:tcPr>
            <w:tcW w:w="1843" w:type="dxa"/>
            <w:vAlign w:val="bottom"/>
          </w:tcPr>
          <w:p w:rsidR="005F0908" w:rsidRPr="00FC157C" w:rsidRDefault="005F0908" w:rsidP="00E378C4">
            <w:pPr>
              <w:jc w:val="right"/>
              <w:rPr>
                <w:sz w:val="22"/>
                <w:szCs w:val="22"/>
              </w:rPr>
            </w:pPr>
            <w:r>
              <w:rPr>
                <w:sz w:val="22"/>
                <w:szCs w:val="22"/>
              </w:rPr>
              <w:t>2,550,956</w:t>
            </w:r>
          </w:p>
        </w:tc>
        <w:tc>
          <w:tcPr>
            <w:tcW w:w="1559" w:type="dxa"/>
            <w:vAlign w:val="bottom"/>
          </w:tcPr>
          <w:p w:rsidR="005F0908" w:rsidRPr="00FC157C" w:rsidRDefault="005F0908" w:rsidP="00A259D4">
            <w:pPr>
              <w:jc w:val="right"/>
              <w:rPr>
                <w:sz w:val="22"/>
                <w:szCs w:val="22"/>
              </w:rPr>
            </w:pPr>
            <w:r>
              <w:rPr>
                <w:sz w:val="22"/>
                <w:szCs w:val="22"/>
              </w:rPr>
              <w:t>2,460,283</w:t>
            </w:r>
          </w:p>
        </w:tc>
        <w:tc>
          <w:tcPr>
            <w:tcW w:w="1417" w:type="dxa"/>
            <w:vAlign w:val="bottom"/>
          </w:tcPr>
          <w:p w:rsidR="005F0908" w:rsidRPr="00FC157C" w:rsidRDefault="005F0908" w:rsidP="00A259D4">
            <w:pPr>
              <w:jc w:val="right"/>
              <w:rPr>
                <w:sz w:val="22"/>
                <w:szCs w:val="22"/>
              </w:rPr>
            </w:pPr>
            <w:r>
              <w:rPr>
                <w:sz w:val="22"/>
                <w:szCs w:val="22"/>
              </w:rPr>
              <w:t>(90,673)</w:t>
            </w:r>
          </w:p>
        </w:tc>
      </w:tr>
      <w:tr w:rsidR="005F0908" w:rsidTr="005F0908">
        <w:tc>
          <w:tcPr>
            <w:tcW w:w="3686" w:type="dxa"/>
            <w:tcBorders>
              <w:right w:val="nil"/>
            </w:tcBorders>
          </w:tcPr>
          <w:p w:rsidR="005F0908" w:rsidRPr="00DE4920" w:rsidRDefault="005F0908" w:rsidP="005F0908">
            <w:r w:rsidRPr="00DE4920">
              <w:t>Economic Development</w:t>
            </w:r>
          </w:p>
        </w:tc>
        <w:tc>
          <w:tcPr>
            <w:tcW w:w="709" w:type="dxa"/>
            <w:tcBorders>
              <w:top w:val="single" w:sz="4" w:space="0" w:color="auto"/>
              <w:left w:val="nil"/>
              <w:bottom w:val="single" w:sz="4" w:space="0" w:color="auto"/>
              <w:right w:val="single" w:sz="4" w:space="0" w:color="auto"/>
            </w:tcBorders>
          </w:tcPr>
          <w:p w:rsidR="005F0908" w:rsidRDefault="005F0908" w:rsidP="00E378C4">
            <w:pPr>
              <w:jc w:val="right"/>
              <w:rPr>
                <w:sz w:val="22"/>
                <w:szCs w:val="22"/>
              </w:rPr>
            </w:pPr>
            <w:r>
              <w:rPr>
                <w:sz w:val="22"/>
                <w:szCs w:val="22"/>
              </w:rPr>
              <w:t>A7</w:t>
            </w:r>
          </w:p>
        </w:tc>
        <w:tc>
          <w:tcPr>
            <w:tcW w:w="1559" w:type="dxa"/>
            <w:tcBorders>
              <w:top w:val="single" w:sz="4" w:space="0" w:color="auto"/>
              <w:left w:val="single" w:sz="4" w:space="0" w:color="auto"/>
              <w:bottom w:val="single" w:sz="4" w:space="0" w:color="auto"/>
            </w:tcBorders>
            <w:vAlign w:val="bottom"/>
          </w:tcPr>
          <w:p w:rsidR="005F0908" w:rsidRPr="00FC157C" w:rsidRDefault="005F0908" w:rsidP="00E378C4">
            <w:pPr>
              <w:jc w:val="right"/>
              <w:rPr>
                <w:sz w:val="22"/>
                <w:szCs w:val="22"/>
              </w:rPr>
            </w:pPr>
            <w:r>
              <w:rPr>
                <w:sz w:val="22"/>
                <w:szCs w:val="22"/>
              </w:rPr>
              <w:t>3,141,600</w:t>
            </w:r>
          </w:p>
        </w:tc>
        <w:tc>
          <w:tcPr>
            <w:tcW w:w="1843" w:type="dxa"/>
            <w:vAlign w:val="bottom"/>
          </w:tcPr>
          <w:p w:rsidR="005F0908" w:rsidRPr="00FC157C" w:rsidRDefault="005F0908" w:rsidP="00E378C4">
            <w:pPr>
              <w:jc w:val="right"/>
              <w:rPr>
                <w:sz w:val="22"/>
                <w:szCs w:val="22"/>
              </w:rPr>
            </w:pPr>
            <w:r>
              <w:rPr>
                <w:sz w:val="22"/>
                <w:szCs w:val="22"/>
              </w:rPr>
              <w:t>617,114</w:t>
            </w:r>
          </w:p>
        </w:tc>
        <w:tc>
          <w:tcPr>
            <w:tcW w:w="1559" w:type="dxa"/>
            <w:vAlign w:val="bottom"/>
          </w:tcPr>
          <w:p w:rsidR="005F0908" w:rsidRPr="00FC157C" w:rsidRDefault="005F0908" w:rsidP="00163438">
            <w:pPr>
              <w:jc w:val="right"/>
              <w:rPr>
                <w:sz w:val="22"/>
                <w:szCs w:val="22"/>
              </w:rPr>
            </w:pPr>
            <w:r>
              <w:rPr>
                <w:sz w:val="22"/>
                <w:szCs w:val="22"/>
              </w:rPr>
              <w:t>662,104</w:t>
            </w:r>
          </w:p>
        </w:tc>
        <w:tc>
          <w:tcPr>
            <w:tcW w:w="1417" w:type="dxa"/>
            <w:vAlign w:val="bottom"/>
          </w:tcPr>
          <w:p w:rsidR="005F0908" w:rsidRPr="00FC157C" w:rsidRDefault="005F0908" w:rsidP="0022398C">
            <w:pPr>
              <w:jc w:val="right"/>
              <w:rPr>
                <w:sz w:val="22"/>
                <w:szCs w:val="22"/>
              </w:rPr>
            </w:pPr>
            <w:r>
              <w:rPr>
                <w:sz w:val="22"/>
                <w:szCs w:val="22"/>
              </w:rPr>
              <w:t>44,990</w:t>
            </w:r>
          </w:p>
        </w:tc>
      </w:tr>
      <w:tr w:rsidR="005F0908" w:rsidTr="005F0908">
        <w:tc>
          <w:tcPr>
            <w:tcW w:w="3686" w:type="dxa"/>
            <w:tcBorders>
              <w:right w:val="nil"/>
            </w:tcBorders>
          </w:tcPr>
          <w:p w:rsidR="005F0908" w:rsidRPr="00DE4920" w:rsidRDefault="005F0908" w:rsidP="005F0908">
            <w:r w:rsidRPr="00DE4920">
              <w:t>Local Environment</w:t>
            </w:r>
          </w:p>
        </w:tc>
        <w:tc>
          <w:tcPr>
            <w:tcW w:w="709" w:type="dxa"/>
            <w:tcBorders>
              <w:top w:val="single" w:sz="4" w:space="0" w:color="auto"/>
              <w:left w:val="nil"/>
              <w:bottom w:val="single" w:sz="4" w:space="0" w:color="auto"/>
              <w:right w:val="single" w:sz="4" w:space="0" w:color="auto"/>
            </w:tcBorders>
          </w:tcPr>
          <w:p w:rsidR="005F0908" w:rsidRPr="00163438" w:rsidRDefault="005F0908" w:rsidP="00FC157C">
            <w:pPr>
              <w:jc w:val="right"/>
              <w:rPr>
                <w:sz w:val="22"/>
                <w:szCs w:val="22"/>
              </w:rPr>
            </w:pPr>
            <w:r>
              <w:rPr>
                <w:sz w:val="22"/>
                <w:szCs w:val="22"/>
              </w:rPr>
              <w:t>A8</w:t>
            </w:r>
          </w:p>
        </w:tc>
        <w:tc>
          <w:tcPr>
            <w:tcW w:w="1559" w:type="dxa"/>
            <w:tcBorders>
              <w:top w:val="single" w:sz="4" w:space="0" w:color="auto"/>
              <w:left w:val="single" w:sz="4" w:space="0" w:color="auto"/>
            </w:tcBorders>
          </w:tcPr>
          <w:p w:rsidR="005F0908" w:rsidRPr="00163438" w:rsidRDefault="005F0908" w:rsidP="00FC157C">
            <w:pPr>
              <w:jc w:val="right"/>
              <w:rPr>
                <w:sz w:val="22"/>
                <w:szCs w:val="22"/>
              </w:rPr>
            </w:pPr>
            <w:r w:rsidRPr="00163438">
              <w:rPr>
                <w:sz w:val="22"/>
                <w:szCs w:val="22"/>
              </w:rPr>
              <w:t>6,899,500</w:t>
            </w:r>
          </w:p>
        </w:tc>
        <w:tc>
          <w:tcPr>
            <w:tcW w:w="1843" w:type="dxa"/>
          </w:tcPr>
          <w:p w:rsidR="005F0908" w:rsidRPr="00163438" w:rsidRDefault="005F0908" w:rsidP="00FC157C">
            <w:pPr>
              <w:jc w:val="right"/>
              <w:rPr>
                <w:sz w:val="22"/>
                <w:szCs w:val="22"/>
              </w:rPr>
            </w:pPr>
            <w:r>
              <w:rPr>
                <w:sz w:val="22"/>
                <w:szCs w:val="22"/>
              </w:rPr>
              <w:t>2,369,008</w:t>
            </w:r>
          </w:p>
        </w:tc>
        <w:tc>
          <w:tcPr>
            <w:tcW w:w="1559" w:type="dxa"/>
          </w:tcPr>
          <w:p w:rsidR="005F0908" w:rsidRPr="00163438" w:rsidRDefault="005F0908" w:rsidP="00163438">
            <w:pPr>
              <w:jc w:val="right"/>
              <w:rPr>
                <w:sz w:val="22"/>
                <w:szCs w:val="22"/>
              </w:rPr>
            </w:pPr>
            <w:r>
              <w:rPr>
                <w:sz w:val="22"/>
                <w:szCs w:val="22"/>
              </w:rPr>
              <w:t>2,118,861</w:t>
            </w:r>
          </w:p>
        </w:tc>
        <w:tc>
          <w:tcPr>
            <w:tcW w:w="1417" w:type="dxa"/>
          </w:tcPr>
          <w:p w:rsidR="005F0908" w:rsidRPr="00163438" w:rsidRDefault="005F0908" w:rsidP="00FC157C">
            <w:pPr>
              <w:jc w:val="right"/>
              <w:rPr>
                <w:sz w:val="22"/>
                <w:szCs w:val="22"/>
              </w:rPr>
            </w:pPr>
            <w:r>
              <w:rPr>
                <w:sz w:val="22"/>
                <w:szCs w:val="22"/>
              </w:rPr>
              <w:t>(250,147)</w:t>
            </w:r>
          </w:p>
        </w:tc>
      </w:tr>
      <w:tr w:rsidR="005F0908" w:rsidTr="005F0908">
        <w:trPr>
          <w:trHeight w:val="242"/>
        </w:trPr>
        <w:tc>
          <w:tcPr>
            <w:tcW w:w="3686" w:type="dxa"/>
            <w:tcBorders>
              <w:right w:val="nil"/>
            </w:tcBorders>
          </w:tcPr>
          <w:p w:rsidR="005F0908" w:rsidRPr="00DE4920" w:rsidRDefault="005F0908" w:rsidP="0052080A">
            <w:pPr>
              <w:spacing w:line="120" w:lineRule="auto"/>
            </w:pPr>
          </w:p>
        </w:tc>
        <w:tc>
          <w:tcPr>
            <w:tcW w:w="709" w:type="dxa"/>
            <w:tcBorders>
              <w:top w:val="single" w:sz="4" w:space="0" w:color="auto"/>
              <w:left w:val="nil"/>
              <w:bottom w:val="single" w:sz="4" w:space="0" w:color="auto"/>
              <w:right w:val="single" w:sz="4" w:space="0" w:color="auto"/>
            </w:tcBorders>
          </w:tcPr>
          <w:p w:rsidR="005F0908" w:rsidRPr="00FC157C" w:rsidRDefault="005F0908" w:rsidP="0052080A">
            <w:pPr>
              <w:spacing w:line="120" w:lineRule="auto"/>
              <w:jc w:val="right"/>
              <w:rPr>
                <w:b/>
                <w:sz w:val="16"/>
                <w:szCs w:val="16"/>
              </w:rPr>
            </w:pPr>
          </w:p>
        </w:tc>
        <w:tc>
          <w:tcPr>
            <w:tcW w:w="1559" w:type="dxa"/>
            <w:tcBorders>
              <w:left w:val="single" w:sz="4" w:space="0" w:color="auto"/>
              <w:bottom w:val="single" w:sz="4" w:space="0" w:color="auto"/>
            </w:tcBorders>
          </w:tcPr>
          <w:p w:rsidR="005F0908" w:rsidRPr="00FC157C" w:rsidRDefault="005F0908" w:rsidP="0052080A">
            <w:pPr>
              <w:spacing w:line="120" w:lineRule="auto"/>
              <w:jc w:val="right"/>
              <w:rPr>
                <w:b/>
                <w:sz w:val="16"/>
                <w:szCs w:val="16"/>
              </w:rPr>
            </w:pPr>
          </w:p>
        </w:tc>
        <w:tc>
          <w:tcPr>
            <w:tcW w:w="1843" w:type="dxa"/>
          </w:tcPr>
          <w:p w:rsidR="005F0908" w:rsidRPr="00FC157C" w:rsidRDefault="005F0908" w:rsidP="0052080A">
            <w:pPr>
              <w:spacing w:line="120" w:lineRule="auto"/>
              <w:jc w:val="right"/>
              <w:rPr>
                <w:b/>
                <w:sz w:val="16"/>
                <w:szCs w:val="16"/>
              </w:rPr>
            </w:pPr>
          </w:p>
        </w:tc>
        <w:tc>
          <w:tcPr>
            <w:tcW w:w="1559" w:type="dxa"/>
          </w:tcPr>
          <w:p w:rsidR="005F0908" w:rsidRPr="00FC157C" w:rsidRDefault="005F0908" w:rsidP="0052080A">
            <w:pPr>
              <w:spacing w:line="120" w:lineRule="auto"/>
              <w:jc w:val="right"/>
              <w:rPr>
                <w:b/>
                <w:sz w:val="16"/>
                <w:szCs w:val="16"/>
              </w:rPr>
            </w:pPr>
          </w:p>
        </w:tc>
        <w:tc>
          <w:tcPr>
            <w:tcW w:w="1417" w:type="dxa"/>
          </w:tcPr>
          <w:p w:rsidR="005F0908" w:rsidRPr="00FC157C" w:rsidRDefault="005F0908" w:rsidP="0052080A">
            <w:pPr>
              <w:spacing w:line="120" w:lineRule="auto"/>
              <w:jc w:val="right"/>
              <w:rPr>
                <w:b/>
                <w:sz w:val="16"/>
                <w:szCs w:val="16"/>
              </w:rPr>
            </w:pPr>
          </w:p>
        </w:tc>
      </w:tr>
      <w:tr w:rsidR="005F0908" w:rsidTr="005F0908">
        <w:tc>
          <w:tcPr>
            <w:tcW w:w="3686" w:type="dxa"/>
            <w:tcBorders>
              <w:right w:val="nil"/>
            </w:tcBorders>
            <w:vAlign w:val="bottom"/>
          </w:tcPr>
          <w:p w:rsidR="005F0908" w:rsidRPr="00FC157C" w:rsidRDefault="005F0908" w:rsidP="00E378C4">
            <w:pPr>
              <w:rPr>
                <w:b/>
                <w:sz w:val="22"/>
                <w:szCs w:val="22"/>
              </w:rPr>
            </w:pPr>
            <w:r w:rsidRPr="00FC157C">
              <w:rPr>
                <w:b/>
                <w:sz w:val="22"/>
                <w:szCs w:val="22"/>
              </w:rPr>
              <w:t>Total</w:t>
            </w:r>
          </w:p>
        </w:tc>
        <w:tc>
          <w:tcPr>
            <w:tcW w:w="709" w:type="dxa"/>
            <w:tcBorders>
              <w:top w:val="single" w:sz="4" w:space="0" w:color="auto"/>
              <w:left w:val="nil"/>
              <w:bottom w:val="single" w:sz="4" w:space="0" w:color="auto"/>
              <w:right w:val="single" w:sz="4" w:space="0" w:color="auto"/>
            </w:tcBorders>
          </w:tcPr>
          <w:p w:rsidR="005F0908" w:rsidRDefault="005F0908" w:rsidP="00E378C4">
            <w:pPr>
              <w:jc w:val="right"/>
              <w:rPr>
                <w:b/>
                <w:sz w:val="22"/>
                <w:szCs w:val="22"/>
              </w:rPr>
            </w:pPr>
          </w:p>
        </w:tc>
        <w:tc>
          <w:tcPr>
            <w:tcW w:w="1559" w:type="dxa"/>
            <w:tcBorders>
              <w:top w:val="single" w:sz="4" w:space="0" w:color="auto"/>
              <w:left w:val="single" w:sz="4" w:space="0" w:color="auto"/>
            </w:tcBorders>
            <w:vAlign w:val="bottom"/>
          </w:tcPr>
          <w:p w:rsidR="005F0908" w:rsidRPr="00FC157C" w:rsidRDefault="005F0908" w:rsidP="00E378C4">
            <w:pPr>
              <w:jc w:val="right"/>
              <w:rPr>
                <w:b/>
                <w:sz w:val="22"/>
                <w:szCs w:val="22"/>
              </w:rPr>
            </w:pPr>
            <w:r>
              <w:rPr>
                <w:b/>
                <w:sz w:val="22"/>
                <w:szCs w:val="22"/>
              </w:rPr>
              <w:t>20,320,100</w:t>
            </w:r>
          </w:p>
        </w:tc>
        <w:tc>
          <w:tcPr>
            <w:tcW w:w="1843" w:type="dxa"/>
            <w:vAlign w:val="bottom"/>
          </w:tcPr>
          <w:p w:rsidR="005F0908" w:rsidRPr="00FC157C" w:rsidRDefault="005F0908" w:rsidP="00E378C4">
            <w:pPr>
              <w:jc w:val="right"/>
              <w:rPr>
                <w:b/>
                <w:sz w:val="22"/>
                <w:szCs w:val="22"/>
              </w:rPr>
            </w:pPr>
            <w:r>
              <w:rPr>
                <w:b/>
                <w:sz w:val="22"/>
                <w:szCs w:val="22"/>
              </w:rPr>
              <w:t>10,180,392</w:t>
            </w:r>
          </w:p>
        </w:tc>
        <w:tc>
          <w:tcPr>
            <w:tcW w:w="1559" w:type="dxa"/>
            <w:vAlign w:val="bottom"/>
          </w:tcPr>
          <w:p w:rsidR="005F0908" w:rsidRPr="00FC157C" w:rsidRDefault="005F0908" w:rsidP="005E391D">
            <w:pPr>
              <w:jc w:val="right"/>
              <w:rPr>
                <w:b/>
                <w:sz w:val="22"/>
                <w:szCs w:val="22"/>
              </w:rPr>
            </w:pPr>
            <w:r>
              <w:rPr>
                <w:b/>
                <w:sz w:val="22"/>
                <w:szCs w:val="22"/>
              </w:rPr>
              <w:t>9,424,42</w:t>
            </w:r>
            <w:r w:rsidR="005E391D">
              <w:rPr>
                <w:b/>
                <w:sz w:val="22"/>
                <w:szCs w:val="22"/>
              </w:rPr>
              <w:t>7</w:t>
            </w:r>
          </w:p>
        </w:tc>
        <w:tc>
          <w:tcPr>
            <w:tcW w:w="1417" w:type="dxa"/>
            <w:vAlign w:val="bottom"/>
          </w:tcPr>
          <w:p w:rsidR="005F0908" w:rsidRPr="00FC157C" w:rsidRDefault="005E391D" w:rsidP="005E391D">
            <w:pPr>
              <w:jc w:val="right"/>
              <w:rPr>
                <w:b/>
                <w:sz w:val="22"/>
                <w:szCs w:val="22"/>
              </w:rPr>
            </w:pPr>
            <w:r>
              <w:rPr>
                <w:b/>
                <w:sz w:val="22"/>
                <w:szCs w:val="22"/>
              </w:rPr>
              <w:t>(755,965</w:t>
            </w:r>
            <w:r w:rsidR="005F0908">
              <w:rPr>
                <w:b/>
                <w:sz w:val="22"/>
                <w:szCs w:val="22"/>
              </w:rPr>
              <w:t>)</w:t>
            </w:r>
          </w:p>
        </w:tc>
      </w:tr>
      <w:tr w:rsidR="005F0908" w:rsidRPr="00FC157C" w:rsidTr="005F0908">
        <w:tc>
          <w:tcPr>
            <w:tcW w:w="3686" w:type="dxa"/>
            <w:tcBorders>
              <w:right w:val="nil"/>
            </w:tcBorders>
          </w:tcPr>
          <w:p w:rsidR="005F0908" w:rsidRPr="00FC157C" w:rsidRDefault="005F0908" w:rsidP="00FC157C">
            <w:pPr>
              <w:rPr>
                <w:b/>
                <w:sz w:val="16"/>
                <w:szCs w:val="16"/>
              </w:rPr>
            </w:pPr>
          </w:p>
        </w:tc>
        <w:tc>
          <w:tcPr>
            <w:tcW w:w="709" w:type="dxa"/>
            <w:tcBorders>
              <w:top w:val="single" w:sz="4" w:space="0" w:color="auto"/>
              <w:left w:val="nil"/>
              <w:bottom w:val="single" w:sz="4" w:space="0" w:color="auto"/>
              <w:right w:val="single" w:sz="4" w:space="0" w:color="auto"/>
            </w:tcBorders>
          </w:tcPr>
          <w:p w:rsidR="005F0908" w:rsidRPr="00FC157C" w:rsidRDefault="005F0908" w:rsidP="00FC157C">
            <w:pPr>
              <w:jc w:val="right"/>
              <w:rPr>
                <w:b/>
                <w:sz w:val="16"/>
                <w:szCs w:val="16"/>
              </w:rPr>
            </w:pPr>
          </w:p>
        </w:tc>
        <w:tc>
          <w:tcPr>
            <w:tcW w:w="1559" w:type="dxa"/>
            <w:tcBorders>
              <w:left w:val="single" w:sz="4" w:space="0" w:color="auto"/>
              <w:bottom w:val="single" w:sz="4" w:space="0" w:color="auto"/>
            </w:tcBorders>
          </w:tcPr>
          <w:p w:rsidR="005F0908" w:rsidRPr="00FC157C" w:rsidRDefault="005F0908" w:rsidP="00FC157C">
            <w:pPr>
              <w:jc w:val="right"/>
              <w:rPr>
                <w:b/>
                <w:sz w:val="16"/>
                <w:szCs w:val="16"/>
              </w:rPr>
            </w:pPr>
          </w:p>
        </w:tc>
        <w:tc>
          <w:tcPr>
            <w:tcW w:w="1843" w:type="dxa"/>
          </w:tcPr>
          <w:p w:rsidR="005F0908" w:rsidRPr="00FC157C" w:rsidRDefault="005F0908" w:rsidP="00FC157C">
            <w:pPr>
              <w:jc w:val="right"/>
              <w:rPr>
                <w:b/>
                <w:sz w:val="16"/>
                <w:szCs w:val="16"/>
              </w:rPr>
            </w:pPr>
          </w:p>
        </w:tc>
        <w:tc>
          <w:tcPr>
            <w:tcW w:w="1559" w:type="dxa"/>
          </w:tcPr>
          <w:p w:rsidR="005F0908" w:rsidRPr="00FC157C" w:rsidRDefault="005F0908" w:rsidP="00FC157C">
            <w:pPr>
              <w:jc w:val="right"/>
              <w:rPr>
                <w:b/>
                <w:sz w:val="16"/>
                <w:szCs w:val="16"/>
              </w:rPr>
            </w:pPr>
          </w:p>
        </w:tc>
        <w:tc>
          <w:tcPr>
            <w:tcW w:w="1417" w:type="dxa"/>
          </w:tcPr>
          <w:p w:rsidR="005F0908" w:rsidRPr="00FC157C" w:rsidRDefault="005F0908" w:rsidP="00FC157C">
            <w:pPr>
              <w:jc w:val="right"/>
              <w:rPr>
                <w:b/>
                <w:sz w:val="16"/>
                <w:szCs w:val="16"/>
              </w:rPr>
            </w:pPr>
          </w:p>
        </w:tc>
      </w:tr>
    </w:tbl>
    <w:p w:rsidR="00BA6AD1" w:rsidRDefault="00BA6AD1">
      <w:pPr>
        <w:ind w:left="720"/>
      </w:pPr>
    </w:p>
    <w:p w:rsidR="00BA6AD1" w:rsidRDefault="00BA6AD1">
      <w:pPr>
        <w:pStyle w:val="Header"/>
        <w:tabs>
          <w:tab w:val="clear" w:pos="4153"/>
          <w:tab w:val="clear" w:pos="8306"/>
        </w:tabs>
      </w:pPr>
    </w:p>
    <w:p w:rsidR="00BA6AD1" w:rsidRPr="00B473AD" w:rsidRDefault="00BA6AD1">
      <w:pPr>
        <w:pStyle w:val="BodyTextIndent3"/>
        <w:numPr>
          <w:ilvl w:val="1"/>
          <w:numId w:val="13"/>
        </w:numPr>
      </w:pPr>
      <w:r w:rsidRPr="00B473AD">
        <w:t>Further details for each Directorate</w:t>
      </w:r>
      <w:r w:rsidR="00B473AD" w:rsidRPr="00B473AD">
        <w:t>, including SMT comments,</w:t>
      </w:r>
      <w:r w:rsidRPr="00B473AD">
        <w:t xml:space="preserve"> </w:t>
      </w:r>
      <w:r w:rsidR="00B473AD" w:rsidRPr="00B473AD">
        <w:t>will be circulated to ROSP in an addendum on 22</w:t>
      </w:r>
      <w:r w:rsidR="00B473AD" w:rsidRPr="00B473AD">
        <w:rPr>
          <w:vertAlign w:val="superscript"/>
        </w:rPr>
        <w:t>nd</w:t>
      </w:r>
      <w:r w:rsidR="00B473AD" w:rsidRPr="00B473AD">
        <w:t xml:space="preserve"> July 2010</w:t>
      </w:r>
      <w:r w:rsidRPr="00B473AD">
        <w:t xml:space="preserve">. </w:t>
      </w:r>
    </w:p>
    <w:p w:rsidR="00EE6C35" w:rsidRDefault="00EE6C35">
      <w:pPr>
        <w:spacing w:line="240" w:lineRule="auto"/>
      </w:pPr>
      <w:r>
        <w:br w:type="page"/>
      </w:r>
    </w:p>
    <w:p w:rsidR="00BA6AD1" w:rsidRDefault="00BA6AD1">
      <w:pPr>
        <w:pStyle w:val="BodyTextIndent3"/>
        <w:tabs>
          <w:tab w:val="clear" w:pos="709"/>
        </w:tabs>
        <w:ind w:left="0"/>
      </w:pPr>
    </w:p>
    <w:p w:rsidR="00BA6AD1" w:rsidRDefault="00BA6AD1">
      <w:pPr>
        <w:pStyle w:val="BodyTextIndent3"/>
        <w:numPr>
          <w:ilvl w:val="0"/>
          <w:numId w:val="8"/>
        </w:numPr>
        <w:rPr>
          <w:b/>
        </w:rPr>
      </w:pPr>
      <w:r>
        <w:rPr>
          <w:b/>
        </w:rPr>
        <w:t xml:space="preserve">KEY ISSUES </w:t>
      </w:r>
    </w:p>
    <w:p w:rsidR="00BA6AD1" w:rsidRPr="008E542D" w:rsidRDefault="00BA6AD1">
      <w:pPr>
        <w:pStyle w:val="BodyTextIndent3"/>
        <w:tabs>
          <w:tab w:val="clear" w:pos="709"/>
        </w:tabs>
        <w:ind w:left="0"/>
        <w:rPr>
          <w:highlight w:val="yellow"/>
        </w:rPr>
      </w:pPr>
    </w:p>
    <w:p w:rsidR="00DC2F04" w:rsidRPr="00AE143B" w:rsidRDefault="00BA6AD1" w:rsidP="00DC2F04">
      <w:pPr>
        <w:pStyle w:val="BodyTextIndent3"/>
        <w:numPr>
          <w:ilvl w:val="1"/>
          <w:numId w:val="9"/>
        </w:numPr>
      </w:pPr>
      <w:r w:rsidRPr="00AE143B">
        <w:t xml:space="preserve">The Salary Turnover Savings budget is a corporate target for the Council and </w:t>
      </w:r>
      <w:r w:rsidR="00084876" w:rsidRPr="00AE143B">
        <w:t>s</w:t>
      </w:r>
      <w:r w:rsidRPr="00AE143B">
        <w:t>avings from salary budgets across the authority are measured and then transferred to it.  The full year target for 20</w:t>
      </w:r>
      <w:r w:rsidR="008E542D" w:rsidRPr="00AE143B">
        <w:t>1</w:t>
      </w:r>
      <w:r w:rsidRPr="00AE143B">
        <w:t>0/1</w:t>
      </w:r>
      <w:r w:rsidR="008E542D" w:rsidRPr="00AE143B">
        <w:t>1</w:t>
      </w:r>
      <w:r w:rsidRPr="00AE143B">
        <w:t xml:space="preserve"> is £5</w:t>
      </w:r>
      <w:r w:rsidR="00AE143B" w:rsidRPr="00AE143B">
        <w:t>44</w:t>
      </w:r>
      <w:r w:rsidRPr="00AE143B">
        <w:t>,</w:t>
      </w:r>
      <w:r w:rsidR="00AE143B" w:rsidRPr="00AE143B">
        <w:t>2</w:t>
      </w:r>
      <w:r w:rsidRPr="00AE143B">
        <w:t>00 and transfers of £</w:t>
      </w:r>
      <w:r w:rsidR="00AE143B" w:rsidRPr="00AE143B">
        <w:t>104</w:t>
      </w:r>
      <w:r w:rsidRPr="00AE143B">
        <w:t>,</w:t>
      </w:r>
      <w:r w:rsidR="00AE143B" w:rsidRPr="00AE143B">
        <w:t>2</w:t>
      </w:r>
      <w:r w:rsidRPr="00AE143B">
        <w:t xml:space="preserve">00 have been made against the </w:t>
      </w:r>
      <w:r w:rsidR="00AE143B" w:rsidRPr="00AE143B">
        <w:t>three</w:t>
      </w:r>
      <w:r w:rsidRPr="00AE143B">
        <w:t xml:space="preserve"> months target of £</w:t>
      </w:r>
      <w:r w:rsidR="00AE143B" w:rsidRPr="00AE143B">
        <w:t>136</w:t>
      </w:r>
      <w:r w:rsidRPr="00AE143B">
        <w:t>,</w:t>
      </w:r>
      <w:r w:rsidR="00AE143B" w:rsidRPr="00AE143B">
        <w:t>2</w:t>
      </w:r>
      <w:r w:rsidRPr="00AE143B">
        <w:t>00, as set out in Appendix A</w:t>
      </w:r>
      <w:r w:rsidR="00AE143B" w:rsidRPr="00AE143B">
        <w:t>4</w:t>
      </w:r>
      <w:r w:rsidRPr="00AE143B">
        <w:t xml:space="preserve">, hence the </w:t>
      </w:r>
      <w:r w:rsidR="00AE143B" w:rsidRPr="00AE143B">
        <w:t>deficit</w:t>
      </w:r>
      <w:r w:rsidRPr="00AE143B">
        <w:t xml:space="preserve"> of £</w:t>
      </w:r>
      <w:r w:rsidR="00AE143B" w:rsidRPr="00AE143B">
        <w:t>32</w:t>
      </w:r>
      <w:r w:rsidRPr="00AE143B">
        <w:t>,</w:t>
      </w:r>
      <w:r w:rsidR="00AE143B" w:rsidRPr="00AE143B">
        <w:t>0</w:t>
      </w:r>
      <w:r w:rsidRPr="00AE143B">
        <w:t>00.</w:t>
      </w:r>
    </w:p>
    <w:p w:rsidR="00FF7350" w:rsidRDefault="00FF7350" w:rsidP="00FF7350">
      <w:pPr>
        <w:pStyle w:val="BodyTextIndent3"/>
        <w:tabs>
          <w:tab w:val="clear" w:pos="709"/>
        </w:tabs>
        <w:ind w:left="705"/>
        <w:rPr>
          <w:highlight w:val="yellow"/>
        </w:rPr>
      </w:pPr>
    </w:p>
    <w:p w:rsidR="001654BC" w:rsidRPr="00FF7350" w:rsidRDefault="001654BC" w:rsidP="00DC2F04">
      <w:pPr>
        <w:pStyle w:val="BodyTextIndent3"/>
        <w:numPr>
          <w:ilvl w:val="1"/>
          <w:numId w:val="9"/>
        </w:numPr>
      </w:pPr>
      <w:r w:rsidRPr="00FF7350">
        <w:t>The employee</w:t>
      </w:r>
      <w:r w:rsidR="00E27FD1">
        <w:t xml:space="preserve"> budgets for 2010/11 include an</w:t>
      </w:r>
      <w:r w:rsidRPr="00FF7350">
        <w:t xml:space="preserve"> estimated pay award at 1.0%, however, the Emergency Budget in June announced that there was likely to be a </w:t>
      </w:r>
      <w:r w:rsidR="00E27FD1">
        <w:t>two</w:t>
      </w:r>
      <w:r w:rsidRPr="00FF7350">
        <w:t xml:space="preserve"> year</w:t>
      </w:r>
      <w:r w:rsidR="00E27FD1">
        <w:t>s</w:t>
      </w:r>
      <w:r w:rsidRPr="00FF7350">
        <w:t xml:space="preserve"> Public Sector Pay Freeze, so it is likely that there could be a saving on salary budgets accruing through the year, and once </w:t>
      </w:r>
      <w:r w:rsidR="00FF7350" w:rsidRPr="00FF7350">
        <w:t>the exact details are known a figure will be able to be calculated.</w:t>
      </w:r>
    </w:p>
    <w:p w:rsidR="00DC2F04" w:rsidRPr="00FF7350" w:rsidRDefault="00DC2F04" w:rsidP="00DC2F04">
      <w:pPr>
        <w:pStyle w:val="BodyTextIndent3"/>
        <w:tabs>
          <w:tab w:val="clear" w:pos="709"/>
        </w:tabs>
        <w:ind w:left="705"/>
      </w:pPr>
    </w:p>
    <w:p w:rsidR="00C37828" w:rsidRDefault="00DC2F04" w:rsidP="00C37828">
      <w:pPr>
        <w:pStyle w:val="BodyTextIndent3"/>
        <w:numPr>
          <w:ilvl w:val="1"/>
          <w:numId w:val="9"/>
        </w:numPr>
      </w:pPr>
      <w:r w:rsidRPr="00FF7350">
        <w:t xml:space="preserve">The corporate savings target for </w:t>
      </w:r>
      <w:r w:rsidR="00FB1409" w:rsidRPr="00FF7350">
        <w:t xml:space="preserve">changes due to </w:t>
      </w:r>
      <w:r w:rsidRPr="00FF7350">
        <w:t xml:space="preserve">the Transformation </w:t>
      </w:r>
      <w:r w:rsidR="00FB1409" w:rsidRPr="00FF7350">
        <w:t>in 20</w:t>
      </w:r>
      <w:r w:rsidR="008E542D" w:rsidRPr="00FF7350">
        <w:t>1</w:t>
      </w:r>
      <w:r w:rsidR="00FB1409" w:rsidRPr="00FF7350">
        <w:t>0/1</w:t>
      </w:r>
      <w:r w:rsidR="008E542D" w:rsidRPr="00FF7350">
        <w:t>1</w:t>
      </w:r>
      <w:r w:rsidR="00FB1409" w:rsidRPr="00FF7350">
        <w:t xml:space="preserve"> </w:t>
      </w:r>
      <w:r w:rsidRPr="00FF7350">
        <w:t>has been set at £1</w:t>
      </w:r>
      <w:r w:rsidR="001654BC" w:rsidRPr="00FF7350">
        <w:t xml:space="preserve">,000,000.  To the end of June savings totalling £1,495,525 have been </w:t>
      </w:r>
      <w:r w:rsidR="00E27FD1">
        <w:t>agreed</w:t>
      </w:r>
      <w:r w:rsidR="001654BC" w:rsidRPr="00FF7350">
        <w:t xml:space="preserve"> and budgets reduced.  A further report will be considered by the Executive in due course that will explain how these savings have been met.</w:t>
      </w:r>
    </w:p>
    <w:p w:rsidR="00FF7350" w:rsidRDefault="00FF7350" w:rsidP="00FF7350">
      <w:pPr>
        <w:pStyle w:val="ListParagraph"/>
      </w:pPr>
    </w:p>
    <w:p w:rsidR="00FF7350" w:rsidRDefault="00FF7350" w:rsidP="00C37828">
      <w:pPr>
        <w:pStyle w:val="BodyTextIndent3"/>
        <w:numPr>
          <w:ilvl w:val="1"/>
          <w:numId w:val="9"/>
        </w:numPr>
      </w:pPr>
      <w:r>
        <w:t>It is likely that there will be a shortfall in the rental income received from the Lanes during 2010/11.  Information regarding lettings, voids, discounts etc</w:t>
      </w:r>
      <w:r w:rsidR="00E27FD1">
        <w:t>.</w:t>
      </w:r>
      <w:r>
        <w:t xml:space="preserve"> has been received from the managing agents of the Lanes and this points to the Council’s share of rental income being down by approximately £320,000 over 2010/11.  Members will be aware that the Council no longer receives a guaranteed rental income and is now only entitled </w:t>
      </w:r>
      <w:r w:rsidRPr="00AE3ADE">
        <w:t xml:space="preserve">to a </w:t>
      </w:r>
      <w:r w:rsidR="00AE3ADE" w:rsidRPr="00AE3ADE">
        <w:t>percentage</w:t>
      </w:r>
      <w:r>
        <w:t xml:space="preserve"> of the gross rents.</w:t>
      </w:r>
    </w:p>
    <w:p w:rsidR="00E57286" w:rsidRDefault="00E57286" w:rsidP="00E57286">
      <w:pPr>
        <w:pStyle w:val="ListParagraph"/>
      </w:pPr>
    </w:p>
    <w:p w:rsidR="00E57286" w:rsidRPr="00FF7350" w:rsidRDefault="003337F7" w:rsidP="00C37828">
      <w:pPr>
        <w:pStyle w:val="BodyTextIndent3"/>
        <w:numPr>
          <w:ilvl w:val="1"/>
          <w:numId w:val="9"/>
        </w:numPr>
      </w:pPr>
      <w:r>
        <w:t>The Council’s energy provider</w:t>
      </w:r>
      <w:r w:rsidR="00E57286">
        <w:t xml:space="preserve">s </w:t>
      </w:r>
      <w:r>
        <w:t>advertised</w:t>
      </w:r>
      <w:r w:rsidR="00E57286">
        <w:t xml:space="preserve"> rise</w:t>
      </w:r>
      <w:r>
        <w:t>s</w:t>
      </w:r>
      <w:r w:rsidR="00E57286">
        <w:t xml:space="preserve"> </w:t>
      </w:r>
      <w:r>
        <w:t>of</w:t>
      </w:r>
      <w:r w:rsidR="00E57286">
        <w:t xml:space="preserve"> 50% </w:t>
      </w:r>
      <w:r w:rsidR="00AA025F">
        <w:t>in 2009</w:t>
      </w:r>
      <w:r>
        <w:t>.</w:t>
      </w:r>
      <w:r w:rsidR="00AA025F">
        <w:t xml:space="preserve"> </w:t>
      </w:r>
      <w:r>
        <w:t>H</w:t>
      </w:r>
      <w:r w:rsidR="00E57286">
        <w:t>owever</w:t>
      </w:r>
      <w:r w:rsidR="00B473AD">
        <w:t>,</w:t>
      </w:r>
      <w:r w:rsidR="00E57286">
        <w:t xml:space="preserve"> the Council </w:t>
      </w:r>
      <w:r w:rsidR="00AA025F">
        <w:t>w</w:t>
      </w:r>
      <w:r w:rsidR="00E57286">
        <w:t xml:space="preserve">as able to negotiate </w:t>
      </w:r>
      <w:r>
        <w:t>pric</w:t>
      </w:r>
      <w:r w:rsidR="00AA025F">
        <w:t xml:space="preserve">es </w:t>
      </w:r>
      <w:r w:rsidR="00E57286">
        <w:t>below th</w:t>
      </w:r>
      <w:r w:rsidR="00AA025F">
        <w:t>is target</w:t>
      </w:r>
      <w:r w:rsidR="00E57286">
        <w:t xml:space="preserve"> </w:t>
      </w:r>
      <w:r w:rsidR="00AA025F">
        <w:t>and</w:t>
      </w:r>
      <w:r w:rsidR="00E57286">
        <w:t xml:space="preserve"> the </w:t>
      </w:r>
      <w:r w:rsidR="00AA025F">
        <w:t>contract</w:t>
      </w:r>
      <w:r>
        <w:t>s</w:t>
      </w:r>
      <w:r w:rsidR="00AA025F">
        <w:t xml:space="preserve"> agreed from 1</w:t>
      </w:r>
      <w:r w:rsidR="00AA025F" w:rsidRPr="00AA025F">
        <w:rPr>
          <w:vertAlign w:val="superscript"/>
        </w:rPr>
        <w:t>st</w:t>
      </w:r>
      <w:r w:rsidR="00AA025F">
        <w:t xml:space="preserve"> October 2009 </w:t>
      </w:r>
      <w:r w:rsidR="00E57286">
        <w:t xml:space="preserve">increased </w:t>
      </w:r>
      <w:r w:rsidR="00AA025F">
        <w:t xml:space="preserve">the rates for gas </w:t>
      </w:r>
      <w:r w:rsidR="00E57286">
        <w:t>by 26% and electricity by 24.8%.</w:t>
      </w:r>
      <w:r w:rsidR="00AA025F">
        <w:t xml:space="preserve"> These increases were </w:t>
      </w:r>
      <w:r>
        <w:t>not included</w:t>
      </w:r>
      <w:r w:rsidR="00AA025F">
        <w:t xml:space="preserve"> in the Council’s budget forecast for 2010/11 and </w:t>
      </w:r>
      <w:r w:rsidR="00B473AD">
        <w:t>equate to</w:t>
      </w:r>
      <w:r w:rsidR="00AA025F">
        <w:t xml:space="preserve"> £</w:t>
      </w:r>
      <w:r w:rsidR="00574D76">
        <w:t>94,100.</w:t>
      </w:r>
    </w:p>
    <w:p w:rsidR="001654BC" w:rsidRPr="001654BC" w:rsidRDefault="001654BC" w:rsidP="001654BC">
      <w:pPr>
        <w:pStyle w:val="BodyTextIndent3"/>
        <w:ind w:left="0"/>
      </w:pPr>
    </w:p>
    <w:p w:rsidR="001654BC" w:rsidRPr="001654BC" w:rsidRDefault="001654BC" w:rsidP="001654BC">
      <w:pPr>
        <w:pStyle w:val="BodyTextIndent3"/>
        <w:tabs>
          <w:tab w:val="clear" w:pos="709"/>
        </w:tabs>
        <w:ind w:left="0"/>
        <w:rPr>
          <w:b/>
          <w:snapToGrid w:val="0"/>
          <w:lang w:eastAsia="en-US"/>
        </w:rPr>
      </w:pPr>
    </w:p>
    <w:p w:rsidR="00BA6AD1" w:rsidRPr="00AE143B" w:rsidRDefault="00BA6AD1" w:rsidP="005322CC">
      <w:pPr>
        <w:pStyle w:val="BodyTextIndent3"/>
        <w:tabs>
          <w:tab w:val="clear" w:pos="709"/>
        </w:tabs>
        <w:ind w:left="0"/>
        <w:rPr>
          <w:b/>
          <w:snapToGrid w:val="0"/>
          <w:lang w:eastAsia="en-US"/>
        </w:rPr>
      </w:pPr>
      <w:r w:rsidRPr="00AE143B">
        <w:rPr>
          <w:b/>
          <w:snapToGrid w:val="0"/>
          <w:lang w:eastAsia="en-US"/>
        </w:rPr>
        <w:t>5.</w:t>
      </w:r>
      <w:r w:rsidRPr="00AE143B">
        <w:rPr>
          <w:b/>
          <w:snapToGrid w:val="0"/>
          <w:lang w:eastAsia="en-US"/>
        </w:rPr>
        <w:tab/>
        <w:t>FORECAST OUTTURN POSITION – 20</w:t>
      </w:r>
      <w:r w:rsidR="008E542D" w:rsidRPr="00AE143B">
        <w:rPr>
          <w:b/>
          <w:snapToGrid w:val="0"/>
          <w:lang w:eastAsia="en-US"/>
        </w:rPr>
        <w:t>1</w:t>
      </w:r>
      <w:r w:rsidRPr="00AE143B">
        <w:rPr>
          <w:b/>
          <w:snapToGrid w:val="0"/>
          <w:lang w:eastAsia="en-US"/>
        </w:rPr>
        <w:t>0/1</w:t>
      </w:r>
      <w:r w:rsidR="008E542D" w:rsidRPr="00AE143B">
        <w:rPr>
          <w:b/>
          <w:snapToGrid w:val="0"/>
          <w:lang w:eastAsia="en-US"/>
        </w:rPr>
        <w:t>1</w:t>
      </w:r>
    </w:p>
    <w:p w:rsidR="00BA6AD1" w:rsidRPr="00AE143B" w:rsidRDefault="00BA6AD1">
      <w:pPr>
        <w:pStyle w:val="BodyTextIndent3"/>
        <w:numPr>
          <w:ilvl w:val="1"/>
          <w:numId w:val="17"/>
        </w:numPr>
      </w:pPr>
      <w:r w:rsidRPr="00AE143B">
        <w:rPr>
          <w:snapToGrid w:val="0"/>
          <w:lang w:eastAsia="en-US"/>
        </w:rPr>
        <w:t xml:space="preserve">The Council’s financial position is affected by a number of external </w:t>
      </w:r>
      <w:r w:rsidRPr="00AE143B">
        <w:t>factors and these have a financial impact during the course of the year and ultimately at the year-end. These include:</w:t>
      </w:r>
    </w:p>
    <w:p w:rsidR="00BA6AD1" w:rsidRPr="00AE143B" w:rsidRDefault="00BA6AD1" w:rsidP="00DD361A">
      <w:pPr>
        <w:pStyle w:val="ListParagraph"/>
        <w:numPr>
          <w:ilvl w:val="0"/>
          <w:numId w:val="15"/>
        </w:numPr>
        <w:ind w:left="1077" w:hanging="357"/>
      </w:pPr>
      <w:r w:rsidRPr="00AE143B">
        <w:t>The general effect of the economic climate on the Council’s income streams e.g. car parking and leisure activities</w:t>
      </w:r>
    </w:p>
    <w:p w:rsidR="00BA6AD1" w:rsidRPr="00AE143B" w:rsidRDefault="00BA6AD1" w:rsidP="00DD361A">
      <w:pPr>
        <w:numPr>
          <w:ilvl w:val="0"/>
          <w:numId w:val="15"/>
        </w:numPr>
        <w:ind w:left="1080"/>
      </w:pPr>
      <w:r w:rsidRPr="00AE143B">
        <w:t>Fuel prices, energy costs and other inflationary iss</w:t>
      </w:r>
      <w:r w:rsidR="00672315" w:rsidRPr="00AE143B">
        <w:t>ues</w:t>
      </w:r>
    </w:p>
    <w:p w:rsidR="00BA6AD1" w:rsidRPr="00AE143B" w:rsidRDefault="00BA6AD1" w:rsidP="00DD361A">
      <w:pPr>
        <w:numPr>
          <w:ilvl w:val="0"/>
          <w:numId w:val="19"/>
        </w:numPr>
        <w:tabs>
          <w:tab w:val="num" w:pos="1080"/>
        </w:tabs>
        <w:ind w:left="1080"/>
      </w:pPr>
      <w:r w:rsidRPr="00AE143B">
        <w:lastRenderedPageBreak/>
        <w:t>The effects of the housing market and property prices, especially with regard to income from land charges and rents</w:t>
      </w:r>
      <w:r w:rsidR="00DD361A">
        <w:t>.</w:t>
      </w:r>
    </w:p>
    <w:p w:rsidR="00BA6AD1" w:rsidRDefault="00BA6AD1">
      <w:pPr>
        <w:ind w:left="1423"/>
      </w:pPr>
    </w:p>
    <w:p w:rsidR="001B05E4" w:rsidRDefault="00432B91" w:rsidP="001B05E4">
      <w:pPr>
        <w:numPr>
          <w:ilvl w:val="1"/>
          <w:numId w:val="17"/>
        </w:numPr>
        <w:rPr>
          <w:snapToGrid w:val="0"/>
          <w:lang w:eastAsia="en-US"/>
        </w:rPr>
      </w:pPr>
      <w:r>
        <w:t xml:space="preserve">The Council’s financial position </w:t>
      </w:r>
      <w:r w:rsidR="0079620D">
        <w:t xml:space="preserve">will </w:t>
      </w:r>
      <w:r w:rsidR="00672315">
        <w:t xml:space="preserve">continue to be closely monitored and will be reported </w:t>
      </w:r>
      <w:r w:rsidR="0079620D">
        <w:t xml:space="preserve">more </w:t>
      </w:r>
      <w:r w:rsidR="00672315">
        <w:t xml:space="preserve">fully </w:t>
      </w:r>
      <w:r w:rsidR="0079620D">
        <w:t>in the next quarterly report</w:t>
      </w:r>
      <w:r w:rsidR="00490F0C">
        <w:t>.</w:t>
      </w:r>
      <w:r w:rsidR="00BA6AD1">
        <w:t xml:space="preserve"> </w:t>
      </w:r>
      <w:r w:rsidR="00490F0C">
        <w:t>U</w:t>
      </w:r>
      <w:r w:rsidR="00BA6AD1">
        <w:t xml:space="preserve">sing points highlighted in section 4, </w:t>
      </w:r>
      <w:r w:rsidR="002319C0">
        <w:t>the following table</w:t>
      </w:r>
      <w:r w:rsidR="00BA6AD1">
        <w:t xml:space="preserve"> attempt</w:t>
      </w:r>
      <w:r w:rsidR="002319C0">
        <w:t>s</w:t>
      </w:r>
      <w:r w:rsidR="00BA6AD1">
        <w:t xml:space="preserve"> to provide </w:t>
      </w:r>
      <w:r w:rsidR="002319C0">
        <w:t xml:space="preserve">a </w:t>
      </w:r>
      <w:r w:rsidR="00BA6AD1" w:rsidRPr="002319C0">
        <w:rPr>
          <w:snapToGrid w:val="0"/>
          <w:lang w:eastAsia="en-US"/>
        </w:rPr>
        <w:t>very broad estimate of the potential year end position</w:t>
      </w:r>
      <w:r w:rsidR="002319C0">
        <w:rPr>
          <w:snapToGrid w:val="0"/>
          <w:lang w:eastAsia="en-US"/>
        </w:rPr>
        <w:t>,</w:t>
      </w:r>
      <w:r w:rsidR="00490F0C" w:rsidRPr="002319C0">
        <w:rPr>
          <w:snapToGrid w:val="0"/>
          <w:lang w:eastAsia="en-US"/>
        </w:rPr>
        <w:t xml:space="preserve"> some of which </w:t>
      </w:r>
      <w:r w:rsidR="0079620D">
        <w:rPr>
          <w:snapToGrid w:val="0"/>
          <w:lang w:eastAsia="en-US"/>
        </w:rPr>
        <w:t>will</w:t>
      </w:r>
      <w:r w:rsidR="00490F0C" w:rsidRPr="002319C0">
        <w:rPr>
          <w:snapToGrid w:val="0"/>
          <w:lang w:eastAsia="en-US"/>
        </w:rPr>
        <w:t xml:space="preserve"> fe</w:t>
      </w:r>
      <w:r w:rsidR="0079620D">
        <w:rPr>
          <w:snapToGrid w:val="0"/>
          <w:lang w:eastAsia="en-US"/>
        </w:rPr>
        <w:t>e</w:t>
      </w:r>
      <w:r w:rsidR="00490F0C" w:rsidRPr="002319C0">
        <w:rPr>
          <w:snapToGrid w:val="0"/>
          <w:lang w:eastAsia="en-US"/>
        </w:rPr>
        <w:t>d into the 201</w:t>
      </w:r>
      <w:r w:rsidR="0079620D">
        <w:rPr>
          <w:snapToGrid w:val="0"/>
          <w:lang w:eastAsia="en-US"/>
        </w:rPr>
        <w:t>1</w:t>
      </w:r>
      <w:r w:rsidR="00490F0C" w:rsidRPr="002319C0">
        <w:rPr>
          <w:snapToGrid w:val="0"/>
          <w:lang w:eastAsia="en-US"/>
        </w:rPr>
        <w:t>/1</w:t>
      </w:r>
      <w:r w:rsidR="0079620D">
        <w:rPr>
          <w:snapToGrid w:val="0"/>
          <w:lang w:eastAsia="en-US"/>
        </w:rPr>
        <w:t>2</w:t>
      </w:r>
      <w:r w:rsidR="00490F0C" w:rsidRPr="002319C0">
        <w:rPr>
          <w:snapToGrid w:val="0"/>
          <w:lang w:eastAsia="en-US"/>
        </w:rPr>
        <w:t xml:space="preserve"> budget process</w:t>
      </w:r>
      <w:r w:rsidR="00BA6AD1" w:rsidRPr="002319C0">
        <w:rPr>
          <w:snapToGrid w:val="0"/>
          <w:lang w:eastAsia="en-US"/>
        </w:rPr>
        <w:t xml:space="preserve"> </w:t>
      </w:r>
    </w:p>
    <w:p w:rsidR="001654BC" w:rsidRPr="002319C0" w:rsidRDefault="001654BC" w:rsidP="001654BC">
      <w:pPr>
        <w:ind w:left="720"/>
        <w:rPr>
          <w:snapToGrid w:val="0"/>
          <w:lang w:eastAsia="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04"/>
        <w:gridCol w:w="1276"/>
        <w:gridCol w:w="850"/>
      </w:tblGrid>
      <w:tr w:rsidR="009571DE" w:rsidTr="0008444A">
        <w:tc>
          <w:tcPr>
            <w:tcW w:w="680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9571DE" w:rsidRPr="00E86A5B" w:rsidRDefault="009571DE" w:rsidP="001B05E4">
            <w:pPr>
              <w:rPr>
                <w:snapToGrid w:val="0"/>
                <w:color w:val="FFFFFF" w:themeColor="background1"/>
                <w:szCs w:val="24"/>
                <w:lang w:eastAsia="en-US"/>
              </w:rPr>
            </w:pPr>
            <w:r w:rsidRPr="00E86A5B">
              <w:rPr>
                <w:snapToGrid w:val="0"/>
                <w:color w:val="FFFFFF" w:themeColor="background1"/>
                <w:szCs w:val="24"/>
                <w:lang w:eastAsia="en-US"/>
              </w:rPr>
              <w:t>Potential Additional costs/Shortfalls in income</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9571DE" w:rsidRPr="00E86A5B" w:rsidRDefault="009571DE" w:rsidP="001B05E4">
            <w:pPr>
              <w:jc w:val="center"/>
              <w:rPr>
                <w:snapToGrid w:val="0"/>
                <w:color w:val="FFFFFF" w:themeColor="background1"/>
                <w:szCs w:val="24"/>
                <w:lang w:eastAsia="en-US"/>
              </w:rPr>
            </w:pPr>
            <w:r w:rsidRPr="00E86A5B">
              <w:rPr>
                <w:snapToGrid w:val="0"/>
                <w:color w:val="FFFFFF" w:themeColor="background1"/>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9571DE" w:rsidRPr="00E86A5B" w:rsidRDefault="00E27FD1" w:rsidP="001B05E4">
            <w:pPr>
              <w:jc w:val="center"/>
              <w:rPr>
                <w:snapToGrid w:val="0"/>
                <w:color w:val="FFFFFF" w:themeColor="background1"/>
                <w:szCs w:val="24"/>
                <w:lang w:eastAsia="en-US"/>
              </w:rPr>
            </w:pPr>
            <w:r>
              <w:rPr>
                <w:snapToGrid w:val="0"/>
                <w:color w:val="FFFFFF" w:themeColor="background1"/>
                <w:szCs w:val="24"/>
                <w:lang w:eastAsia="en-US"/>
              </w:rPr>
              <w:t>Para.</w:t>
            </w:r>
          </w:p>
        </w:tc>
      </w:tr>
      <w:tr w:rsidR="009571DE" w:rsidTr="0008444A">
        <w:tc>
          <w:tcPr>
            <w:tcW w:w="6804" w:type="dxa"/>
            <w:tcBorders>
              <w:left w:val="single" w:sz="4" w:space="0" w:color="auto"/>
              <w:right w:val="single" w:sz="4" w:space="0" w:color="auto"/>
            </w:tcBorders>
          </w:tcPr>
          <w:p w:rsidR="009571DE" w:rsidRDefault="00FF7350" w:rsidP="001B05E4">
            <w:pPr>
              <w:numPr>
                <w:ilvl w:val="0"/>
                <w:numId w:val="19"/>
              </w:numPr>
              <w:rPr>
                <w:snapToGrid w:val="0"/>
                <w:szCs w:val="24"/>
                <w:lang w:eastAsia="en-US"/>
              </w:rPr>
            </w:pPr>
            <w:r w:rsidRPr="00736026">
              <w:rPr>
                <w:snapToGrid w:val="0"/>
                <w:szCs w:val="24"/>
                <w:lang w:eastAsia="en-US"/>
              </w:rPr>
              <w:t>Lanes Head Rent</w:t>
            </w:r>
          </w:p>
          <w:p w:rsidR="004F22DF" w:rsidRPr="00736026" w:rsidRDefault="004F22DF" w:rsidP="001B05E4">
            <w:pPr>
              <w:numPr>
                <w:ilvl w:val="0"/>
                <w:numId w:val="19"/>
              </w:numPr>
              <w:rPr>
                <w:snapToGrid w:val="0"/>
                <w:szCs w:val="24"/>
                <w:lang w:eastAsia="en-US"/>
              </w:rPr>
            </w:pPr>
            <w:r>
              <w:rPr>
                <w:snapToGrid w:val="0"/>
                <w:szCs w:val="24"/>
                <w:lang w:eastAsia="en-US"/>
              </w:rPr>
              <w:t>Energy</w:t>
            </w:r>
          </w:p>
          <w:p w:rsidR="00C12DE1" w:rsidRPr="00736026" w:rsidRDefault="00C12DE1" w:rsidP="001B05E4">
            <w:pPr>
              <w:numPr>
                <w:ilvl w:val="0"/>
                <w:numId w:val="19"/>
              </w:numPr>
              <w:rPr>
                <w:snapToGrid w:val="0"/>
                <w:szCs w:val="24"/>
                <w:lang w:eastAsia="en-US"/>
              </w:rPr>
            </w:pPr>
            <w:r w:rsidRPr="00736026">
              <w:rPr>
                <w:snapToGrid w:val="0"/>
                <w:szCs w:val="24"/>
                <w:lang w:eastAsia="en-US"/>
              </w:rPr>
              <w:t>Recovery of court costs</w:t>
            </w:r>
          </w:p>
          <w:p w:rsidR="00C12DE1" w:rsidRPr="00736026" w:rsidRDefault="00C12DE1" w:rsidP="001B05E4">
            <w:pPr>
              <w:numPr>
                <w:ilvl w:val="0"/>
                <w:numId w:val="19"/>
              </w:numPr>
              <w:rPr>
                <w:snapToGrid w:val="0"/>
                <w:szCs w:val="24"/>
                <w:lang w:eastAsia="en-US"/>
              </w:rPr>
            </w:pPr>
            <w:r w:rsidRPr="00736026">
              <w:rPr>
                <w:snapToGrid w:val="0"/>
                <w:szCs w:val="24"/>
                <w:lang w:eastAsia="en-US"/>
              </w:rPr>
              <w:t>Contract Parking income</w:t>
            </w:r>
          </w:p>
        </w:tc>
        <w:tc>
          <w:tcPr>
            <w:tcW w:w="1276" w:type="dxa"/>
            <w:tcBorders>
              <w:left w:val="single" w:sz="4" w:space="0" w:color="auto"/>
              <w:right w:val="single" w:sz="4" w:space="0" w:color="auto"/>
            </w:tcBorders>
          </w:tcPr>
          <w:p w:rsidR="009571DE" w:rsidRPr="00736026" w:rsidRDefault="009E326D" w:rsidP="009E326D">
            <w:pPr>
              <w:jc w:val="right"/>
              <w:rPr>
                <w:snapToGrid w:val="0"/>
                <w:szCs w:val="24"/>
                <w:lang w:eastAsia="en-US"/>
              </w:rPr>
            </w:pPr>
            <w:r w:rsidRPr="00736026">
              <w:rPr>
                <w:snapToGrid w:val="0"/>
                <w:szCs w:val="24"/>
                <w:lang w:eastAsia="en-US"/>
              </w:rPr>
              <w:t>320</w:t>
            </w:r>
            <w:r w:rsidR="009571DE" w:rsidRPr="00736026">
              <w:rPr>
                <w:snapToGrid w:val="0"/>
                <w:szCs w:val="24"/>
                <w:lang w:eastAsia="en-US"/>
              </w:rPr>
              <w:t>,</w:t>
            </w:r>
            <w:r w:rsidRPr="00736026">
              <w:rPr>
                <w:snapToGrid w:val="0"/>
                <w:szCs w:val="24"/>
                <w:lang w:eastAsia="en-US"/>
              </w:rPr>
              <w:t>0</w:t>
            </w:r>
            <w:r w:rsidR="009571DE" w:rsidRPr="00736026">
              <w:rPr>
                <w:snapToGrid w:val="0"/>
                <w:szCs w:val="24"/>
                <w:lang w:eastAsia="en-US"/>
              </w:rPr>
              <w:t>00</w:t>
            </w:r>
          </w:p>
          <w:p w:rsidR="00C12DE1" w:rsidRPr="00736026" w:rsidRDefault="004F22DF" w:rsidP="009E326D">
            <w:pPr>
              <w:jc w:val="right"/>
              <w:rPr>
                <w:snapToGrid w:val="0"/>
                <w:szCs w:val="24"/>
                <w:lang w:eastAsia="en-US"/>
              </w:rPr>
            </w:pPr>
            <w:r>
              <w:rPr>
                <w:snapToGrid w:val="0"/>
                <w:szCs w:val="24"/>
                <w:lang w:eastAsia="en-US"/>
              </w:rPr>
              <w:t>94</w:t>
            </w:r>
            <w:r w:rsidR="00C12DE1" w:rsidRPr="00736026">
              <w:rPr>
                <w:snapToGrid w:val="0"/>
                <w:szCs w:val="24"/>
                <w:lang w:eastAsia="en-US"/>
              </w:rPr>
              <w:t>,</w:t>
            </w:r>
            <w:r>
              <w:rPr>
                <w:snapToGrid w:val="0"/>
                <w:szCs w:val="24"/>
                <w:lang w:eastAsia="en-US"/>
              </w:rPr>
              <w:t>1</w:t>
            </w:r>
            <w:r w:rsidR="00C12DE1" w:rsidRPr="00736026">
              <w:rPr>
                <w:snapToGrid w:val="0"/>
                <w:szCs w:val="24"/>
                <w:lang w:eastAsia="en-US"/>
              </w:rPr>
              <w:t>00</w:t>
            </w:r>
          </w:p>
          <w:p w:rsidR="00C12DE1" w:rsidRDefault="00E57286" w:rsidP="009E326D">
            <w:pPr>
              <w:jc w:val="right"/>
              <w:rPr>
                <w:snapToGrid w:val="0"/>
                <w:szCs w:val="24"/>
                <w:lang w:eastAsia="en-US"/>
              </w:rPr>
            </w:pPr>
            <w:r>
              <w:rPr>
                <w:snapToGrid w:val="0"/>
                <w:szCs w:val="24"/>
                <w:lang w:eastAsia="en-US"/>
              </w:rPr>
              <w:t>30</w:t>
            </w:r>
            <w:r w:rsidR="00C12DE1" w:rsidRPr="00736026">
              <w:rPr>
                <w:snapToGrid w:val="0"/>
                <w:szCs w:val="24"/>
                <w:lang w:eastAsia="en-US"/>
              </w:rPr>
              <w:t>,000</w:t>
            </w:r>
          </w:p>
          <w:p w:rsidR="00E57286" w:rsidRPr="00736026" w:rsidRDefault="00E57286" w:rsidP="009E326D">
            <w:pPr>
              <w:jc w:val="right"/>
              <w:rPr>
                <w:snapToGrid w:val="0"/>
                <w:szCs w:val="24"/>
                <w:lang w:eastAsia="en-US"/>
              </w:rPr>
            </w:pPr>
            <w:r>
              <w:rPr>
                <w:snapToGrid w:val="0"/>
                <w:szCs w:val="24"/>
                <w:lang w:eastAsia="en-US"/>
              </w:rPr>
              <w:t>35,000</w:t>
            </w:r>
          </w:p>
        </w:tc>
        <w:tc>
          <w:tcPr>
            <w:tcW w:w="850" w:type="dxa"/>
            <w:tcBorders>
              <w:left w:val="single" w:sz="4" w:space="0" w:color="auto"/>
              <w:right w:val="single" w:sz="4" w:space="0" w:color="auto"/>
            </w:tcBorders>
          </w:tcPr>
          <w:p w:rsidR="009571DE" w:rsidRDefault="00E27FD1" w:rsidP="00E27FD1">
            <w:pPr>
              <w:jc w:val="right"/>
              <w:rPr>
                <w:snapToGrid w:val="0"/>
                <w:szCs w:val="24"/>
                <w:lang w:eastAsia="en-US"/>
              </w:rPr>
            </w:pPr>
            <w:r w:rsidRPr="00787F78">
              <w:rPr>
                <w:snapToGrid w:val="0"/>
                <w:szCs w:val="24"/>
                <w:lang w:eastAsia="en-US"/>
              </w:rPr>
              <w:t>4</w:t>
            </w:r>
            <w:r w:rsidR="009571DE" w:rsidRPr="00787F78">
              <w:rPr>
                <w:snapToGrid w:val="0"/>
                <w:szCs w:val="24"/>
                <w:lang w:eastAsia="en-US"/>
              </w:rPr>
              <w:t>.</w:t>
            </w:r>
            <w:r w:rsidRPr="00787F78">
              <w:rPr>
                <w:snapToGrid w:val="0"/>
                <w:szCs w:val="24"/>
                <w:lang w:eastAsia="en-US"/>
              </w:rPr>
              <w:t>4</w:t>
            </w:r>
          </w:p>
          <w:p w:rsidR="00E57286" w:rsidRPr="00787F78" w:rsidRDefault="00E57286" w:rsidP="00E27FD1">
            <w:pPr>
              <w:jc w:val="right"/>
              <w:rPr>
                <w:snapToGrid w:val="0"/>
                <w:szCs w:val="24"/>
                <w:lang w:eastAsia="en-US"/>
              </w:rPr>
            </w:pPr>
            <w:r>
              <w:rPr>
                <w:snapToGrid w:val="0"/>
                <w:szCs w:val="24"/>
                <w:lang w:eastAsia="en-US"/>
              </w:rPr>
              <w:t>4.5</w:t>
            </w:r>
          </w:p>
        </w:tc>
      </w:tr>
      <w:tr w:rsidR="009571DE" w:rsidTr="0008444A">
        <w:tc>
          <w:tcPr>
            <w:tcW w:w="6804" w:type="dxa"/>
            <w:tcBorders>
              <w:left w:val="single" w:sz="4" w:space="0" w:color="auto"/>
              <w:right w:val="single" w:sz="4" w:space="0" w:color="auto"/>
            </w:tcBorders>
          </w:tcPr>
          <w:p w:rsidR="009571DE" w:rsidRPr="00736026" w:rsidRDefault="009571DE" w:rsidP="001B05E4">
            <w:pPr>
              <w:numPr>
                <w:ilvl w:val="0"/>
                <w:numId w:val="19"/>
              </w:numPr>
              <w:rPr>
                <w:snapToGrid w:val="0"/>
                <w:szCs w:val="24"/>
                <w:lang w:eastAsia="en-US"/>
              </w:rPr>
            </w:pPr>
            <w:r w:rsidRPr="00736026">
              <w:rPr>
                <w:snapToGrid w:val="0"/>
                <w:szCs w:val="24"/>
                <w:lang w:eastAsia="en-US"/>
              </w:rPr>
              <w:t>CCTV/Pub/Shopwatch SLA income</w:t>
            </w:r>
          </w:p>
        </w:tc>
        <w:tc>
          <w:tcPr>
            <w:tcW w:w="1276" w:type="dxa"/>
            <w:tcBorders>
              <w:left w:val="single" w:sz="4" w:space="0" w:color="auto"/>
              <w:right w:val="single" w:sz="4" w:space="0" w:color="auto"/>
            </w:tcBorders>
          </w:tcPr>
          <w:p w:rsidR="009571DE" w:rsidRPr="00736026" w:rsidRDefault="009571DE" w:rsidP="00C12DE1">
            <w:pPr>
              <w:jc w:val="right"/>
              <w:rPr>
                <w:snapToGrid w:val="0"/>
                <w:szCs w:val="24"/>
                <w:lang w:eastAsia="en-US"/>
              </w:rPr>
            </w:pPr>
            <w:r w:rsidRPr="00736026">
              <w:rPr>
                <w:snapToGrid w:val="0"/>
                <w:szCs w:val="24"/>
                <w:lang w:eastAsia="en-US"/>
              </w:rPr>
              <w:t>3</w:t>
            </w:r>
            <w:r w:rsidR="00C12DE1" w:rsidRPr="00736026">
              <w:rPr>
                <w:snapToGrid w:val="0"/>
                <w:szCs w:val="24"/>
                <w:lang w:eastAsia="en-US"/>
              </w:rPr>
              <w:t>8</w:t>
            </w:r>
            <w:r w:rsidRPr="00736026">
              <w:rPr>
                <w:snapToGrid w:val="0"/>
                <w:szCs w:val="24"/>
                <w:lang w:eastAsia="en-US"/>
              </w:rPr>
              <w:t>,</w:t>
            </w:r>
            <w:r w:rsidR="00C12DE1" w:rsidRPr="00736026">
              <w:rPr>
                <w:snapToGrid w:val="0"/>
                <w:szCs w:val="24"/>
                <w:lang w:eastAsia="en-US"/>
              </w:rPr>
              <w:t>6</w:t>
            </w:r>
            <w:r w:rsidRPr="00736026">
              <w:rPr>
                <w:snapToGrid w:val="0"/>
                <w:szCs w:val="24"/>
                <w:lang w:eastAsia="en-US"/>
              </w:rPr>
              <w:t>00</w:t>
            </w:r>
          </w:p>
        </w:tc>
        <w:tc>
          <w:tcPr>
            <w:tcW w:w="850" w:type="dxa"/>
            <w:tcBorders>
              <w:left w:val="single" w:sz="4" w:space="0" w:color="auto"/>
              <w:right w:val="single" w:sz="4" w:space="0" w:color="auto"/>
            </w:tcBorders>
          </w:tcPr>
          <w:p w:rsidR="009571DE" w:rsidRPr="0079620D" w:rsidRDefault="009571DE" w:rsidP="001B05E4">
            <w:pPr>
              <w:jc w:val="right"/>
              <w:rPr>
                <w:snapToGrid w:val="0"/>
                <w:szCs w:val="24"/>
                <w:highlight w:val="yellow"/>
                <w:lang w:eastAsia="en-US"/>
              </w:rPr>
            </w:pPr>
          </w:p>
        </w:tc>
      </w:tr>
      <w:tr w:rsidR="009571DE" w:rsidTr="0008444A">
        <w:tc>
          <w:tcPr>
            <w:tcW w:w="6804" w:type="dxa"/>
            <w:tcBorders>
              <w:left w:val="single" w:sz="4" w:space="0" w:color="auto"/>
              <w:right w:val="single" w:sz="4" w:space="0" w:color="auto"/>
            </w:tcBorders>
          </w:tcPr>
          <w:p w:rsidR="009571DE" w:rsidRPr="00736026" w:rsidRDefault="00C12DE1" w:rsidP="001B05E4">
            <w:pPr>
              <w:numPr>
                <w:ilvl w:val="0"/>
                <w:numId w:val="19"/>
              </w:numPr>
              <w:rPr>
                <w:snapToGrid w:val="0"/>
                <w:szCs w:val="24"/>
                <w:lang w:eastAsia="en-US"/>
              </w:rPr>
            </w:pPr>
            <w:r w:rsidRPr="00736026">
              <w:rPr>
                <w:snapToGrid w:val="0"/>
                <w:szCs w:val="24"/>
                <w:lang w:eastAsia="en-US"/>
              </w:rPr>
              <w:t>Transport – Fuel costs</w:t>
            </w:r>
          </w:p>
        </w:tc>
        <w:tc>
          <w:tcPr>
            <w:tcW w:w="1276" w:type="dxa"/>
            <w:tcBorders>
              <w:left w:val="single" w:sz="4" w:space="0" w:color="auto"/>
              <w:right w:val="single" w:sz="4" w:space="0" w:color="auto"/>
            </w:tcBorders>
          </w:tcPr>
          <w:p w:rsidR="009571DE" w:rsidRPr="00736026" w:rsidRDefault="009571DE" w:rsidP="001B05E4">
            <w:pPr>
              <w:jc w:val="right"/>
              <w:rPr>
                <w:snapToGrid w:val="0"/>
                <w:szCs w:val="24"/>
                <w:lang w:eastAsia="en-US"/>
              </w:rPr>
            </w:pPr>
            <w:r w:rsidRPr="00736026">
              <w:rPr>
                <w:snapToGrid w:val="0"/>
                <w:szCs w:val="24"/>
                <w:lang w:eastAsia="en-US"/>
              </w:rPr>
              <w:t>3</w:t>
            </w:r>
            <w:r w:rsidR="00C12DE1" w:rsidRPr="00736026">
              <w:rPr>
                <w:snapToGrid w:val="0"/>
                <w:szCs w:val="24"/>
                <w:lang w:eastAsia="en-US"/>
              </w:rPr>
              <w:t>6</w:t>
            </w:r>
            <w:r w:rsidRPr="00736026">
              <w:rPr>
                <w:snapToGrid w:val="0"/>
                <w:szCs w:val="24"/>
                <w:lang w:eastAsia="en-US"/>
              </w:rPr>
              <w:t>,000</w:t>
            </w:r>
          </w:p>
        </w:tc>
        <w:tc>
          <w:tcPr>
            <w:tcW w:w="850" w:type="dxa"/>
            <w:tcBorders>
              <w:left w:val="single" w:sz="4" w:space="0" w:color="auto"/>
              <w:right w:val="single" w:sz="4" w:space="0" w:color="auto"/>
            </w:tcBorders>
          </w:tcPr>
          <w:p w:rsidR="009571DE" w:rsidRPr="0079620D" w:rsidRDefault="009571DE" w:rsidP="001B05E4">
            <w:pPr>
              <w:jc w:val="right"/>
              <w:rPr>
                <w:snapToGrid w:val="0"/>
                <w:szCs w:val="24"/>
                <w:highlight w:val="yellow"/>
                <w:lang w:eastAsia="en-US"/>
              </w:rPr>
            </w:pPr>
          </w:p>
        </w:tc>
      </w:tr>
      <w:tr w:rsidR="009571DE" w:rsidTr="0008444A">
        <w:tc>
          <w:tcPr>
            <w:tcW w:w="6804" w:type="dxa"/>
            <w:tcBorders>
              <w:left w:val="single" w:sz="4" w:space="0" w:color="auto"/>
              <w:right w:val="single" w:sz="4" w:space="0" w:color="auto"/>
            </w:tcBorders>
          </w:tcPr>
          <w:p w:rsidR="009571DE" w:rsidRPr="00736026" w:rsidRDefault="009571DE" w:rsidP="001B05E4">
            <w:pPr>
              <w:numPr>
                <w:ilvl w:val="0"/>
                <w:numId w:val="19"/>
              </w:numPr>
              <w:rPr>
                <w:snapToGrid w:val="0"/>
                <w:szCs w:val="24"/>
                <w:lang w:eastAsia="en-US"/>
              </w:rPr>
            </w:pPr>
            <w:r w:rsidRPr="00736026">
              <w:rPr>
                <w:snapToGrid w:val="0"/>
                <w:szCs w:val="24"/>
                <w:lang w:eastAsia="en-US"/>
              </w:rPr>
              <w:t>Investment income shortfall</w:t>
            </w:r>
          </w:p>
        </w:tc>
        <w:tc>
          <w:tcPr>
            <w:tcW w:w="1276" w:type="dxa"/>
            <w:tcBorders>
              <w:left w:val="single" w:sz="4" w:space="0" w:color="auto"/>
              <w:right w:val="single" w:sz="4" w:space="0" w:color="auto"/>
            </w:tcBorders>
          </w:tcPr>
          <w:p w:rsidR="009571DE" w:rsidRPr="00736026" w:rsidRDefault="009571DE" w:rsidP="001B05E4">
            <w:pPr>
              <w:jc w:val="right"/>
              <w:rPr>
                <w:snapToGrid w:val="0"/>
                <w:szCs w:val="24"/>
                <w:lang w:eastAsia="en-US"/>
              </w:rPr>
            </w:pPr>
            <w:r w:rsidRPr="00736026">
              <w:rPr>
                <w:snapToGrid w:val="0"/>
                <w:szCs w:val="24"/>
                <w:lang w:eastAsia="en-US"/>
              </w:rPr>
              <w:t>30,000</w:t>
            </w:r>
          </w:p>
        </w:tc>
        <w:tc>
          <w:tcPr>
            <w:tcW w:w="850" w:type="dxa"/>
            <w:tcBorders>
              <w:left w:val="single" w:sz="4" w:space="0" w:color="auto"/>
              <w:right w:val="single" w:sz="4" w:space="0" w:color="auto"/>
            </w:tcBorders>
          </w:tcPr>
          <w:p w:rsidR="009571DE" w:rsidRPr="0079620D" w:rsidRDefault="009571DE" w:rsidP="001B05E4">
            <w:pPr>
              <w:jc w:val="right"/>
              <w:rPr>
                <w:snapToGrid w:val="0"/>
                <w:szCs w:val="24"/>
                <w:highlight w:val="yellow"/>
                <w:lang w:eastAsia="en-US"/>
              </w:rPr>
            </w:pPr>
          </w:p>
        </w:tc>
      </w:tr>
      <w:tr w:rsidR="009571DE" w:rsidTr="0008444A">
        <w:trPr>
          <w:trHeight w:val="425"/>
        </w:trPr>
        <w:tc>
          <w:tcPr>
            <w:tcW w:w="6804" w:type="dxa"/>
            <w:tcBorders>
              <w:top w:val="single" w:sz="4" w:space="0" w:color="auto"/>
              <w:left w:val="single" w:sz="4" w:space="0" w:color="auto"/>
              <w:bottom w:val="single" w:sz="4" w:space="0" w:color="auto"/>
              <w:right w:val="single" w:sz="4" w:space="0" w:color="auto"/>
            </w:tcBorders>
          </w:tcPr>
          <w:p w:rsidR="009571DE" w:rsidRPr="00E57286" w:rsidRDefault="009571DE" w:rsidP="00B805F4">
            <w:pPr>
              <w:rPr>
                <w:b/>
                <w:snapToGrid w:val="0"/>
                <w:szCs w:val="24"/>
                <w:lang w:eastAsia="en-US"/>
              </w:rPr>
            </w:pPr>
            <w:r w:rsidRPr="00E57286">
              <w:rPr>
                <w:b/>
                <w:snapToGrid w:val="0"/>
                <w:szCs w:val="24"/>
                <w:lang w:eastAsia="en-US"/>
              </w:rPr>
              <w:t>Total additional costs/income shortfalls</w:t>
            </w:r>
          </w:p>
        </w:tc>
        <w:tc>
          <w:tcPr>
            <w:tcW w:w="1276" w:type="dxa"/>
            <w:tcBorders>
              <w:top w:val="single" w:sz="4" w:space="0" w:color="auto"/>
              <w:left w:val="single" w:sz="4" w:space="0" w:color="auto"/>
              <w:bottom w:val="single" w:sz="4" w:space="0" w:color="auto"/>
              <w:right w:val="single" w:sz="4" w:space="0" w:color="auto"/>
            </w:tcBorders>
          </w:tcPr>
          <w:p w:rsidR="009571DE" w:rsidRPr="00E57286" w:rsidRDefault="009571DE" w:rsidP="00E57286">
            <w:pPr>
              <w:jc w:val="right"/>
              <w:rPr>
                <w:b/>
                <w:snapToGrid w:val="0"/>
                <w:szCs w:val="24"/>
                <w:lang w:eastAsia="en-US"/>
              </w:rPr>
            </w:pPr>
            <w:r w:rsidRPr="00E57286">
              <w:rPr>
                <w:b/>
                <w:snapToGrid w:val="0"/>
                <w:szCs w:val="24"/>
                <w:lang w:eastAsia="en-US"/>
              </w:rPr>
              <w:t>5</w:t>
            </w:r>
            <w:r w:rsidR="00E57286" w:rsidRPr="00E57286">
              <w:rPr>
                <w:b/>
                <w:snapToGrid w:val="0"/>
                <w:szCs w:val="24"/>
                <w:lang w:eastAsia="en-US"/>
              </w:rPr>
              <w:t>83</w:t>
            </w:r>
            <w:r w:rsidRPr="00E57286">
              <w:rPr>
                <w:b/>
                <w:snapToGrid w:val="0"/>
                <w:szCs w:val="24"/>
                <w:lang w:eastAsia="en-US"/>
              </w:rPr>
              <w:t>,</w:t>
            </w:r>
            <w:r w:rsidR="00E57286" w:rsidRPr="00E57286">
              <w:rPr>
                <w:b/>
                <w:snapToGrid w:val="0"/>
                <w:szCs w:val="24"/>
                <w:lang w:eastAsia="en-US"/>
              </w:rPr>
              <w:t>7</w:t>
            </w:r>
            <w:r w:rsidRPr="00E57286">
              <w:rPr>
                <w:b/>
                <w:snapToGrid w:val="0"/>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9571DE" w:rsidRPr="0079620D" w:rsidRDefault="009571DE" w:rsidP="001B05E4">
            <w:pPr>
              <w:jc w:val="right"/>
              <w:rPr>
                <w:b/>
                <w:snapToGrid w:val="0"/>
                <w:szCs w:val="24"/>
                <w:highlight w:val="yellow"/>
                <w:lang w:eastAsia="en-US"/>
              </w:rPr>
            </w:pPr>
          </w:p>
        </w:tc>
      </w:tr>
      <w:tr w:rsidR="009571DE" w:rsidTr="0008444A">
        <w:trPr>
          <w:trHeight w:val="120"/>
        </w:trPr>
        <w:tc>
          <w:tcPr>
            <w:tcW w:w="6804" w:type="dxa"/>
            <w:tcBorders>
              <w:top w:val="single" w:sz="4" w:space="0" w:color="auto"/>
              <w:left w:val="single" w:sz="4" w:space="0" w:color="auto"/>
              <w:bottom w:val="single" w:sz="4" w:space="0" w:color="auto"/>
              <w:right w:val="single" w:sz="4" w:space="0" w:color="auto"/>
            </w:tcBorders>
          </w:tcPr>
          <w:p w:rsidR="009571DE" w:rsidRPr="009571DE" w:rsidRDefault="009571DE" w:rsidP="00E82DCD">
            <w:pPr>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9571DE" w:rsidRPr="009571DE" w:rsidRDefault="009571DE" w:rsidP="001B05E4">
            <w:pPr>
              <w:jc w:val="right"/>
              <w:rPr>
                <w:snapToGrid w:val="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tcPr>
          <w:p w:rsidR="009571DE" w:rsidRPr="009571DE" w:rsidRDefault="009571DE" w:rsidP="001B05E4">
            <w:pPr>
              <w:jc w:val="right"/>
              <w:rPr>
                <w:snapToGrid w:val="0"/>
                <w:sz w:val="12"/>
                <w:szCs w:val="12"/>
                <w:lang w:eastAsia="en-US"/>
              </w:rPr>
            </w:pPr>
          </w:p>
        </w:tc>
      </w:tr>
      <w:tr w:rsidR="009571DE" w:rsidTr="0008444A">
        <w:tc>
          <w:tcPr>
            <w:tcW w:w="680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9571DE" w:rsidRPr="00E86A5B" w:rsidRDefault="009571DE" w:rsidP="00E82DCD">
            <w:pPr>
              <w:rPr>
                <w:snapToGrid w:val="0"/>
                <w:color w:val="FFFFFF" w:themeColor="background1"/>
                <w:szCs w:val="24"/>
                <w:lang w:eastAsia="en-US"/>
              </w:rPr>
            </w:pPr>
            <w:r w:rsidRPr="00E86A5B">
              <w:rPr>
                <w:color w:val="FFFFFF" w:themeColor="background1"/>
                <w:szCs w:val="24"/>
              </w:rPr>
              <w:t>Potential Reduction in costs/Additional income</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9571DE" w:rsidRPr="00E86A5B" w:rsidRDefault="009571DE" w:rsidP="001B05E4">
            <w:pPr>
              <w:jc w:val="right"/>
              <w:rPr>
                <w:snapToGrid w:val="0"/>
                <w:color w:val="FFFFFF" w:themeColor="background1"/>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9571DE" w:rsidRPr="00E86A5B" w:rsidRDefault="009571DE" w:rsidP="001B05E4">
            <w:pPr>
              <w:jc w:val="right"/>
              <w:rPr>
                <w:snapToGrid w:val="0"/>
                <w:color w:val="FFFFFF" w:themeColor="background1"/>
                <w:szCs w:val="24"/>
                <w:lang w:eastAsia="en-US"/>
              </w:rPr>
            </w:pPr>
          </w:p>
        </w:tc>
      </w:tr>
      <w:tr w:rsidR="009571DE" w:rsidTr="0008444A">
        <w:tc>
          <w:tcPr>
            <w:tcW w:w="6804" w:type="dxa"/>
            <w:tcBorders>
              <w:top w:val="single" w:sz="4" w:space="0" w:color="auto"/>
              <w:left w:val="single" w:sz="4" w:space="0" w:color="auto"/>
              <w:right w:val="single" w:sz="4" w:space="0" w:color="auto"/>
            </w:tcBorders>
          </w:tcPr>
          <w:p w:rsidR="009571DE" w:rsidRPr="00EE01F3" w:rsidRDefault="00E57286" w:rsidP="00E77DF8">
            <w:pPr>
              <w:numPr>
                <w:ilvl w:val="0"/>
                <w:numId w:val="19"/>
              </w:numPr>
              <w:rPr>
                <w:szCs w:val="24"/>
              </w:rPr>
            </w:pPr>
            <w:r w:rsidRPr="00EE01F3">
              <w:rPr>
                <w:szCs w:val="24"/>
              </w:rPr>
              <w:t>Transformation savings</w:t>
            </w:r>
          </w:p>
        </w:tc>
        <w:tc>
          <w:tcPr>
            <w:tcW w:w="1276" w:type="dxa"/>
            <w:tcBorders>
              <w:top w:val="single" w:sz="4" w:space="0" w:color="auto"/>
              <w:left w:val="single" w:sz="4" w:space="0" w:color="auto"/>
              <w:right w:val="single" w:sz="4" w:space="0" w:color="auto"/>
            </w:tcBorders>
          </w:tcPr>
          <w:p w:rsidR="009571DE" w:rsidRPr="00EE01F3" w:rsidRDefault="00E57286" w:rsidP="00E77DF8">
            <w:pPr>
              <w:jc w:val="right"/>
              <w:rPr>
                <w:snapToGrid w:val="0"/>
                <w:szCs w:val="24"/>
                <w:lang w:eastAsia="en-US"/>
              </w:rPr>
            </w:pPr>
            <w:r w:rsidRPr="00EE01F3">
              <w:rPr>
                <w:snapToGrid w:val="0"/>
                <w:szCs w:val="24"/>
                <w:lang w:eastAsia="en-US"/>
              </w:rPr>
              <w:t>(495,600)</w:t>
            </w:r>
          </w:p>
        </w:tc>
        <w:tc>
          <w:tcPr>
            <w:tcW w:w="850" w:type="dxa"/>
            <w:tcBorders>
              <w:top w:val="single" w:sz="4" w:space="0" w:color="auto"/>
              <w:left w:val="single" w:sz="4" w:space="0" w:color="auto"/>
              <w:right w:val="single" w:sz="4" w:space="0" w:color="auto"/>
            </w:tcBorders>
          </w:tcPr>
          <w:p w:rsidR="009571DE" w:rsidRPr="00E86A5B" w:rsidRDefault="00E57286" w:rsidP="00E77DF8">
            <w:pPr>
              <w:jc w:val="right"/>
              <w:rPr>
                <w:snapToGrid w:val="0"/>
                <w:szCs w:val="24"/>
                <w:lang w:eastAsia="en-US"/>
              </w:rPr>
            </w:pPr>
            <w:r>
              <w:rPr>
                <w:snapToGrid w:val="0"/>
                <w:szCs w:val="24"/>
                <w:lang w:eastAsia="en-US"/>
              </w:rPr>
              <w:t>4.3</w:t>
            </w:r>
          </w:p>
        </w:tc>
      </w:tr>
      <w:tr w:rsidR="00E77DF8" w:rsidTr="0008444A">
        <w:tc>
          <w:tcPr>
            <w:tcW w:w="6804" w:type="dxa"/>
            <w:tcBorders>
              <w:left w:val="single" w:sz="4" w:space="0" w:color="auto"/>
              <w:right w:val="single" w:sz="4" w:space="0" w:color="auto"/>
            </w:tcBorders>
          </w:tcPr>
          <w:p w:rsidR="00E77DF8" w:rsidRPr="00EE01F3" w:rsidRDefault="00E77DF8" w:rsidP="00736026">
            <w:pPr>
              <w:numPr>
                <w:ilvl w:val="0"/>
                <w:numId w:val="19"/>
              </w:numPr>
              <w:rPr>
                <w:szCs w:val="24"/>
              </w:rPr>
            </w:pPr>
            <w:r>
              <w:rPr>
                <w:szCs w:val="24"/>
              </w:rPr>
              <w:t>Savings from pay award</w:t>
            </w:r>
          </w:p>
        </w:tc>
        <w:tc>
          <w:tcPr>
            <w:tcW w:w="1276" w:type="dxa"/>
            <w:tcBorders>
              <w:left w:val="single" w:sz="4" w:space="0" w:color="auto"/>
              <w:right w:val="single" w:sz="4" w:space="0" w:color="auto"/>
            </w:tcBorders>
          </w:tcPr>
          <w:p w:rsidR="00E77DF8" w:rsidRPr="00EE01F3" w:rsidRDefault="00E77DF8" w:rsidP="00736026">
            <w:pPr>
              <w:jc w:val="right"/>
              <w:rPr>
                <w:snapToGrid w:val="0"/>
                <w:szCs w:val="24"/>
                <w:lang w:eastAsia="en-US"/>
              </w:rPr>
            </w:pPr>
            <w:r>
              <w:rPr>
                <w:snapToGrid w:val="0"/>
                <w:szCs w:val="24"/>
                <w:lang w:eastAsia="en-US"/>
              </w:rPr>
              <w:t>(114,000)</w:t>
            </w:r>
          </w:p>
        </w:tc>
        <w:tc>
          <w:tcPr>
            <w:tcW w:w="850" w:type="dxa"/>
            <w:tcBorders>
              <w:left w:val="single" w:sz="4" w:space="0" w:color="auto"/>
              <w:right w:val="single" w:sz="4" w:space="0" w:color="auto"/>
            </w:tcBorders>
          </w:tcPr>
          <w:p w:rsidR="00E77DF8" w:rsidRPr="00E86A5B" w:rsidRDefault="00E77DF8" w:rsidP="001B05E4">
            <w:pPr>
              <w:jc w:val="right"/>
              <w:rPr>
                <w:snapToGrid w:val="0"/>
                <w:szCs w:val="24"/>
                <w:lang w:eastAsia="en-US"/>
              </w:rPr>
            </w:pPr>
            <w:r>
              <w:rPr>
                <w:snapToGrid w:val="0"/>
                <w:szCs w:val="24"/>
                <w:lang w:eastAsia="en-US"/>
              </w:rPr>
              <w:t>4.2</w:t>
            </w:r>
          </w:p>
        </w:tc>
      </w:tr>
      <w:tr w:rsidR="009571DE" w:rsidTr="0008444A">
        <w:tc>
          <w:tcPr>
            <w:tcW w:w="6804" w:type="dxa"/>
            <w:tcBorders>
              <w:left w:val="single" w:sz="4" w:space="0" w:color="auto"/>
              <w:right w:val="single" w:sz="4" w:space="0" w:color="auto"/>
            </w:tcBorders>
          </w:tcPr>
          <w:p w:rsidR="009571DE" w:rsidRPr="00EE01F3" w:rsidRDefault="009571DE" w:rsidP="00736026">
            <w:pPr>
              <w:numPr>
                <w:ilvl w:val="0"/>
                <w:numId w:val="19"/>
              </w:numPr>
              <w:rPr>
                <w:szCs w:val="24"/>
              </w:rPr>
            </w:pPr>
            <w:r w:rsidRPr="00EE01F3">
              <w:rPr>
                <w:szCs w:val="24"/>
              </w:rPr>
              <w:t>Land Charges search</w:t>
            </w:r>
            <w:r w:rsidR="00736026" w:rsidRPr="00EE01F3">
              <w:rPr>
                <w:szCs w:val="24"/>
              </w:rPr>
              <w:t xml:space="preserve"> </w:t>
            </w:r>
            <w:r w:rsidRPr="00EE01F3">
              <w:rPr>
                <w:szCs w:val="24"/>
              </w:rPr>
              <w:t>fees</w:t>
            </w:r>
          </w:p>
        </w:tc>
        <w:tc>
          <w:tcPr>
            <w:tcW w:w="1276" w:type="dxa"/>
            <w:tcBorders>
              <w:left w:val="single" w:sz="4" w:space="0" w:color="auto"/>
              <w:right w:val="single" w:sz="4" w:space="0" w:color="auto"/>
            </w:tcBorders>
          </w:tcPr>
          <w:p w:rsidR="009571DE" w:rsidRPr="00EE01F3" w:rsidRDefault="009571DE" w:rsidP="00736026">
            <w:pPr>
              <w:jc w:val="right"/>
              <w:rPr>
                <w:snapToGrid w:val="0"/>
                <w:szCs w:val="24"/>
                <w:lang w:eastAsia="en-US"/>
              </w:rPr>
            </w:pPr>
            <w:r w:rsidRPr="00EE01F3">
              <w:rPr>
                <w:snapToGrid w:val="0"/>
                <w:szCs w:val="24"/>
                <w:lang w:eastAsia="en-US"/>
              </w:rPr>
              <w:t>(4</w:t>
            </w:r>
            <w:r w:rsidR="00736026" w:rsidRPr="00EE01F3">
              <w:rPr>
                <w:snapToGrid w:val="0"/>
                <w:szCs w:val="24"/>
                <w:lang w:eastAsia="en-US"/>
              </w:rPr>
              <w:t>0</w:t>
            </w:r>
            <w:r w:rsidRPr="00EE01F3">
              <w:rPr>
                <w:snapToGrid w:val="0"/>
                <w:szCs w:val="24"/>
                <w:lang w:eastAsia="en-US"/>
              </w:rPr>
              <w:t>,</w:t>
            </w:r>
            <w:r w:rsidR="00736026" w:rsidRPr="00EE01F3">
              <w:rPr>
                <w:snapToGrid w:val="0"/>
                <w:szCs w:val="24"/>
                <w:lang w:eastAsia="en-US"/>
              </w:rPr>
              <w:t>0</w:t>
            </w:r>
            <w:r w:rsidRPr="00EE01F3">
              <w:rPr>
                <w:snapToGrid w:val="0"/>
                <w:szCs w:val="24"/>
                <w:lang w:eastAsia="en-US"/>
              </w:rPr>
              <w:t>00)</w:t>
            </w:r>
          </w:p>
        </w:tc>
        <w:tc>
          <w:tcPr>
            <w:tcW w:w="850" w:type="dxa"/>
            <w:tcBorders>
              <w:left w:val="single" w:sz="4" w:space="0" w:color="auto"/>
              <w:right w:val="single" w:sz="4" w:space="0" w:color="auto"/>
            </w:tcBorders>
          </w:tcPr>
          <w:p w:rsidR="009571DE" w:rsidRPr="00E86A5B" w:rsidRDefault="009571DE" w:rsidP="001B05E4">
            <w:pPr>
              <w:jc w:val="right"/>
              <w:rPr>
                <w:snapToGrid w:val="0"/>
                <w:szCs w:val="24"/>
                <w:lang w:eastAsia="en-US"/>
              </w:rPr>
            </w:pPr>
          </w:p>
        </w:tc>
      </w:tr>
      <w:tr w:rsidR="009571DE" w:rsidTr="0008444A">
        <w:tc>
          <w:tcPr>
            <w:tcW w:w="6804" w:type="dxa"/>
            <w:tcBorders>
              <w:left w:val="single" w:sz="4" w:space="0" w:color="auto"/>
              <w:right w:val="single" w:sz="4" w:space="0" w:color="auto"/>
            </w:tcBorders>
          </w:tcPr>
          <w:p w:rsidR="009571DE" w:rsidRPr="00EE01F3" w:rsidRDefault="009571DE" w:rsidP="00E82DCD">
            <w:pPr>
              <w:numPr>
                <w:ilvl w:val="0"/>
                <w:numId w:val="19"/>
              </w:numPr>
              <w:rPr>
                <w:szCs w:val="24"/>
              </w:rPr>
            </w:pPr>
            <w:r w:rsidRPr="00EE01F3">
              <w:rPr>
                <w:szCs w:val="24"/>
              </w:rPr>
              <w:t>Improved car parking income</w:t>
            </w:r>
          </w:p>
        </w:tc>
        <w:tc>
          <w:tcPr>
            <w:tcW w:w="1276" w:type="dxa"/>
            <w:tcBorders>
              <w:left w:val="single" w:sz="4" w:space="0" w:color="auto"/>
              <w:right w:val="single" w:sz="4" w:space="0" w:color="auto"/>
            </w:tcBorders>
          </w:tcPr>
          <w:p w:rsidR="009571DE" w:rsidRPr="00EE01F3" w:rsidRDefault="009571DE" w:rsidP="001B05E4">
            <w:pPr>
              <w:jc w:val="right"/>
              <w:rPr>
                <w:snapToGrid w:val="0"/>
                <w:szCs w:val="24"/>
                <w:lang w:eastAsia="en-US"/>
              </w:rPr>
            </w:pPr>
            <w:r w:rsidRPr="00EE01F3">
              <w:rPr>
                <w:snapToGrid w:val="0"/>
                <w:szCs w:val="24"/>
                <w:lang w:eastAsia="en-US"/>
              </w:rPr>
              <w:t>(40,000)</w:t>
            </w:r>
          </w:p>
        </w:tc>
        <w:tc>
          <w:tcPr>
            <w:tcW w:w="850" w:type="dxa"/>
            <w:tcBorders>
              <w:left w:val="single" w:sz="4" w:space="0" w:color="auto"/>
              <w:right w:val="single" w:sz="4" w:space="0" w:color="auto"/>
            </w:tcBorders>
          </w:tcPr>
          <w:p w:rsidR="009571DE" w:rsidRPr="00E86A5B" w:rsidRDefault="009571DE" w:rsidP="001B05E4">
            <w:pPr>
              <w:jc w:val="right"/>
              <w:rPr>
                <w:snapToGrid w:val="0"/>
                <w:szCs w:val="24"/>
                <w:lang w:eastAsia="en-US"/>
              </w:rPr>
            </w:pPr>
          </w:p>
        </w:tc>
      </w:tr>
      <w:tr w:rsidR="004F22DF" w:rsidTr="0008444A">
        <w:tc>
          <w:tcPr>
            <w:tcW w:w="6804" w:type="dxa"/>
            <w:tcBorders>
              <w:left w:val="single" w:sz="4" w:space="0" w:color="auto"/>
              <w:right w:val="single" w:sz="4" w:space="0" w:color="auto"/>
            </w:tcBorders>
          </w:tcPr>
          <w:p w:rsidR="004F22DF" w:rsidRPr="00EE01F3" w:rsidRDefault="004F22DF" w:rsidP="004F22DF">
            <w:pPr>
              <w:numPr>
                <w:ilvl w:val="0"/>
                <w:numId w:val="19"/>
              </w:numPr>
              <w:rPr>
                <w:szCs w:val="24"/>
              </w:rPr>
            </w:pPr>
            <w:r w:rsidRPr="00EE01F3">
              <w:rPr>
                <w:szCs w:val="24"/>
              </w:rPr>
              <w:t xml:space="preserve">NNDR net adjustment (Viaduct Car Parks) </w:t>
            </w:r>
          </w:p>
        </w:tc>
        <w:tc>
          <w:tcPr>
            <w:tcW w:w="1276" w:type="dxa"/>
            <w:tcBorders>
              <w:left w:val="single" w:sz="4" w:space="0" w:color="auto"/>
              <w:right w:val="single" w:sz="4" w:space="0" w:color="auto"/>
            </w:tcBorders>
          </w:tcPr>
          <w:p w:rsidR="004F22DF" w:rsidRPr="00EE01F3" w:rsidRDefault="004F22DF" w:rsidP="001B05E4">
            <w:pPr>
              <w:jc w:val="right"/>
              <w:rPr>
                <w:snapToGrid w:val="0"/>
                <w:szCs w:val="24"/>
                <w:lang w:eastAsia="en-US"/>
              </w:rPr>
            </w:pPr>
            <w:r w:rsidRPr="00EE01F3">
              <w:rPr>
                <w:snapToGrid w:val="0"/>
                <w:szCs w:val="24"/>
                <w:lang w:eastAsia="en-US"/>
              </w:rPr>
              <w:t>(12,900)</w:t>
            </w:r>
          </w:p>
        </w:tc>
        <w:tc>
          <w:tcPr>
            <w:tcW w:w="850" w:type="dxa"/>
            <w:tcBorders>
              <w:left w:val="single" w:sz="4" w:space="0" w:color="auto"/>
              <w:right w:val="single" w:sz="4" w:space="0" w:color="auto"/>
            </w:tcBorders>
          </w:tcPr>
          <w:p w:rsidR="004F22DF" w:rsidRPr="00E86A5B" w:rsidRDefault="004F22DF" w:rsidP="001B05E4">
            <w:pPr>
              <w:jc w:val="right"/>
              <w:rPr>
                <w:snapToGrid w:val="0"/>
                <w:szCs w:val="24"/>
                <w:lang w:eastAsia="en-US"/>
              </w:rPr>
            </w:pPr>
          </w:p>
        </w:tc>
      </w:tr>
      <w:tr w:rsidR="004F22DF" w:rsidTr="0008444A">
        <w:tc>
          <w:tcPr>
            <w:tcW w:w="6804" w:type="dxa"/>
            <w:tcBorders>
              <w:left w:val="single" w:sz="4" w:space="0" w:color="auto"/>
              <w:right w:val="single" w:sz="4" w:space="0" w:color="auto"/>
            </w:tcBorders>
          </w:tcPr>
          <w:p w:rsidR="004F22DF" w:rsidRPr="00EE01F3" w:rsidRDefault="004F22DF" w:rsidP="004F22DF">
            <w:pPr>
              <w:numPr>
                <w:ilvl w:val="0"/>
                <w:numId w:val="19"/>
              </w:numPr>
              <w:rPr>
                <w:szCs w:val="24"/>
              </w:rPr>
            </w:pPr>
            <w:r w:rsidRPr="00EE01F3">
              <w:rPr>
                <w:szCs w:val="24"/>
              </w:rPr>
              <w:t>Surface Water charges</w:t>
            </w:r>
          </w:p>
        </w:tc>
        <w:tc>
          <w:tcPr>
            <w:tcW w:w="1276" w:type="dxa"/>
            <w:tcBorders>
              <w:left w:val="single" w:sz="4" w:space="0" w:color="auto"/>
              <w:right w:val="single" w:sz="4" w:space="0" w:color="auto"/>
            </w:tcBorders>
          </w:tcPr>
          <w:p w:rsidR="004F22DF" w:rsidRPr="00EE01F3" w:rsidRDefault="004F22DF" w:rsidP="001B05E4">
            <w:pPr>
              <w:jc w:val="right"/>
              <w:rPr>
                <w:snapToGrid w:val="0"/>
                <w:szCs w:val="24"/>
                <w:lang w:eastAsia="en-US"/>
              </w:rPr>
            </w:pPr>
            <w:r w:rsidRPr="00EE01F3">
              <w:rPr>
                <w:snapToGrid w:val="0"/>
                <w:szCs w:val="24"/>
                <w:lang w:eastAsia="en-US"/>
              </w:rPr>
              <w:t>(10,300)</w:t>
            </w:r>
          </w:p>
        </w:tc>
        <w:tc>
          <w:tcPr>
            <w:tcW w:w="850" w:type="dxa"/>
            <w:tcBorders>
              <w:left w:val="single" w:sz="4" w:space="0" w:color="auto"/>
              <w:right w:val="single" w:sz="4" w:space="0" w:color="auto"/>
            </w:tcBorders>
          </w:tcPr>
          <w:p w:rsidR="004F22DF" w:rsidRPr="00E86A5B" w:rsidRDefault="004F22DF" w:rsidP="001B05E4">
            <w:pPr>
              <w:jc w:val="right"/>
              <w:rPr>
                <w:snapToGrid w:val="0"/>
                <w:szCs w:val="24"/>
                <w:lang w:eastAsia="en-US"/>
              </w:rPr>
            </w:pPr>
          </w:p>
        </w:tc>
      </w:tr>
      <w:tr w:rsidR="009571DE" w:rsidTr="0008444A">
        <w:tc>
          <w:tcPr>
            <w:tcW w:w="6804" w:type="dxa"/>
            <w:tcBorders>
              <w:top w:val="single" w:sz="4" w:space="0" w:color="auto"/>
              <w:left w:val="single" w:sz="4" w:space="0" w:color="auto"/>
              <w:bottom w:val="single" w:sz="4" w:space="0" w:color="auto"/>
              <w:right w:val="single" w:sz="4" w:space="0" w:color="auto"/>
            </w:tcBorders>
          </w:tcPr>
          <w:p w:rsidR="009571DE" w:rsidRPr="00EE01F3" w:rsidRDefault="009571DE" w:rsidP="00E82DCD">
            <w:pPr>
              <w:rPr>
                <w:b/>
                <w:szCs w:val="24"/>
              </w:rPr>
            </w:pPr>
            <w:r w:rsidRPr="00EE01F3">
              <w:rPr>
                <w:b/>
                <w:szCs w:val="24"/>
              </w:rPr>
              <w:t xml:space="preserve">Total reduced costs/additional income </w:t>
            </w:r>
          </w:p>
        </w:tc>
        <w:tc>
          <w:tcPr>
            <w:tcW w:w="1276" w:type="dxa"/>
            <w:tcBorders>
              <w:top w:val="single" w:sz="4" w:space="0" w:color="auto"/>
              <w:left w:val="single" w:sz="4" w:space="0" w:color="auto"/>
              <w:bottom w:val="single" w:sz="4" w:space="0" w:color="auto"/>
              <w:right w:val="single" w:sz="4" w:space="0" w:color="auto"/>
            </w:tcBorders>
          </w:tcPr>
          <w:p w:rsidR="009571DE" w:rsidRPr="00EE01F3" w:rsidRDefault="009571DE" w:rsidP="00202059">
            <w:pPr>
              <w:jc w:val="right"/>
              <w:rPr>
                <w:b/>
                <w:snapToGrid w:val="0"/>
                <w:szCs w:val="24"/>
                <w:lang w:eastAsia="en-US"/>
              </w:rPr>
            </w:pPr>
            <w:r w:rsidRPr="00EE01F3">
              <w:rPr>
                <w:b/>
                <w:snapToGrid w:val="0"/>
                <w:szCs w:val="24"/>
                <w:lang w:eastAsia="en-US"/>
              </w:rPr>
              <w:t>(</w:t>
            </w:r>
            <w:r w:rsidR="00202059">
              <w:rPr>
                <w:b/>
                <w:snapToGrid w:val="0"/>
                <w:szCs w:val="24"/>
                <w:lang w:eastAsia="en-US"/>
              </w:rPr>
              <w:t>712</w:t>
            </w:r>
            <w:r w:rsidRPr="00EE01F3">
              <w:rPr>
                <w:b/>
                <w:snapToGrid w:val="0"/>
                <w:szCs w:val="24"/>
                <w:lang w:eastAsia="en-US"/>
              </w:rPr>
              <w:t>,</w:t>
            </w:r>
            <w:r w:rsidR="00EE01F3" w:rsidRPr="00EE01F3">
              <w:rPr>
                <w:b/>
                <w:snapToGrid w:val="0"/>
                <w:szCs w:val="24"/>
                <w:lang w:eastAsia="en-US"/>
              </w:rPr>
              <w:t>8</w:t>
            </w:r>
            <w:r w:rsidRPr="00EE01F3">
              <w:rPr>
                <w:b/>
                <w:snapToGrid w:val="0"/>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9571DE" w:rsidRPr="00E86A5B" w:rsidRDefault="009571DE" w:rsidP="001B05E4">
            <w:pPr>
              <w:jc w:val="right"/>
              <w:rPr>
                <w:b/>
                <w:snapToGrid w:val="0"/>
                <w:szCs w:val="24"/>
                <w:lang w:eastAsia="en-US"/>
              </w:rPr>
            </w:pPr>
          </w:p>
        </w:tc>
      </w:tr>
      <w:tr w:rsidR="009571DE" w:rsidTr="0008444A">
        <w:tc>
          <w:tcPr>
            <w:tcW w:w="6804" w:type="dxa"/>
            <w:tcBorders>
              <w:top w:val="single" w:sz="4" w:space="0" w:color="auto"/>
              <w:left w:val="single" w:sz="4" w:space="0" w:color="auto"/>
              <w:bottom w:val="single" w:sz="4" w:space="0" w:color="auto"/>
              <w:right w:val="single" w:sz="4" w:space="0" w:color="auto"/>
            </w:tcBorders>
          </w:tcPr>
          <w:p w:rsidR="009571DE" w:rsidRPr="0079620D" w:rsidRDefault="009571DE" w:rsidP="00E82DCD">
            <w:pPr>
              <w:rPr>
                <w:sz w:val="12"/>
                <w:szCs w:val="12"/>
                <w:highlight w:val="yellow"/>
              </w:rPr>
            </w:pPr>
          </w:p>
        </w:tc>
        <w:tc>
          <w:tcPr>
            <w:tcW w:w="1276" w:type="dxa"/>
            <w:tcBorders>
              <w:top w:val="single" w:sz="4" w:space="0" w:color="auto"/>
              <w:left w:val="single" w:sz="4" w:space="0" w:color="auto"/>
              <w:bottom w:val="single" w:sz="4" w:space="0" w:color="auto"/>
              <w:right w:val="single" w:sz="4" w:space="0" w:color="auto"/>
            </w:tcBorders>
          </w:tcPr>
          <w:p w:rsidR="009571DE" w:rsidRPr="0079620D" w:rsidRDefault="009571DE" w:rsidP="001B05E4">
            <w:pPr>
              <w:jc w:val="right"/>
              <w:rPr>
                <w:snapToGrid w:val="0"/>
                <w:sz w:val="12"/>
                <w:szCs w:val="1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tcPr>
          <w:p w:rsidR="009571DE" w:rsidRPr="009571DE" w:rsidRDefault="009571DE" w:rsidP="001B05E4">
            <w:pPr>
              <w:jc w:val="right"/>
              <w:rPr>
                <w:snapToGrid w:val="0"/>
                <w:sz w:val="12"/>
                <w:szCs w:val="12"/>
                <w:lang w:eastAsia="en-US"/>
              </w:rPr>
            </w:pPr>
          </w:p>
        </w:tc>
      </w:tr>
      <w:tr w:rsidR="009571DE" w:rsidTr="000844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4"/>
        </w:trPr>
        <w:tc>
          <w:tcPr>
            <w:tcW w:w="6804" w:type="dxa"/>
            <w:vAlign w:val="center"/>
          </w:tcPr>
          <w:p w:rsidR="009571DE" w:rsidRPr="00D27FFB" w:rsidRDefault="009571DE" w:rsidP="0079620D">
            <w:pPr>
              <w:pStyle w:val="BodyTextIndent3"/>
              <w:tabs>
                <w:tab w:val="clear" w:pos="709"/>
              </w:tabs>
              <w:ind w:left="0"/>
              <w:rPr>
                <w:b/>
                <w:szCs w:val="24"/>
              </w:rPr>
            </w:pPr>
            <w:r w:rsidRPr="00D27FFB">
              <w:rPr>
                <w:b/>
                <w:szCs w:val="24"/>
              </w:rPr>
              <w:t xml:space="preserve">Total Potential </w:t>
            </w:r>
            <w:r w:rsidR="0079620D">
              <w:rPr>
                <w:b/>
                <w:szCs w:val="24"/>
              </w:rPr>
              <w:t>(</w:t>
            </w:r>
            <w:r w:rsidRPr="00D27FFB">
              <w:rPr>
                <w:b/>
                <w:szCs w:val="24"/>
              </w:rPr>
              <w:t>under spend</w:t>
            </w:r>
            <w:r w:rsidR="0079620D">
              <w:rPr>
                <w:b/>
                <w:szCs w:val="24"/>
              </w:rPr>
              <w:t>)</w:t>
            </w:r>
            <w:r w:rsidRPr="00D27FFB">
              <w:rPr>
                <w:b/>
                <w:szCs w:val="24"/>
              </w:rPr>
              <w:t>/</w:t>
            </w:r>
            <w:r w:rsidR="0079620D">
              <w:rPr>
                <w:b/>
                <w:szCs w:val="24"/>
              </w:rPr>
              <w:t>shortfall</w:t>
            </w:r>
          </w:p>
        </w:tc>
        <w:tc>
          <w:tcPr>
            <w:tcW w:w="1276" w:type="dxa"/>
            <w:vAlign w:val="center"/>
          </w:tcPr>
          <w:p w:rsidR="009571DE" w:rsidRPr="00D27FFB" w:rsidRDefault="00EE01F3" w:rsidP="00D74D88">
            <w:pPr>
              <w:pStyle w:val="BodyTextIndent3"/>
              <w:tabs>
                <w:tab w:val="clear" w:pos="709"/>
              </w:tabs>
              <w:ind w:left="0"/>
              <w:jc w:val="right"/>
              <w:rPr>
                <w:b/>
                <w:szCs w:val="24"/>
              </w:rPr>
            </w:pPr>
            <w:r>
              <w:rPr>
                <w:b/>
                <w:szCs w:val="24"/>
              </w:rPr>
              <w:t>(</w:t>
            </w:r>
            <w:r w:rsidR="00D74D88">
              <w:rPr>
                <w:b/>
                <w:szCs w:val="24"/>
              </w:rPr>
              <w:t>1</w:t>
            </w:r>
            <w:r>
              <w:rPr>
                <w:b/>
                <w:szCs w:val="24"/>
              </w:rPr>
              <w:t>2</w:t>
            </w:r>
            <w:r w:rsidR="00D74D88">
              <w:rPr>
                <w:b/>
                <w:szCs w:val="24"/>
              </w:rPr>
              <w:t>9</w:t>
            </w:r>
            <w:r w:rsidR="009571DE" w:rsidRPr="00D27FFB">
              <w:rPr>
                <w:b/>
                <w:szCs w:val="24"/>
              </w:rPr>
              <w:t>,</w:t>
            </w:r>
            <w:r>
              <w:rPr>
                <w:b/>
                <w:szCs w:val="24"/>
              </w:rPr>
              <w:t>1</w:t>
            </w:r>
            <w:r w:rsidR="009571DE" w:rsidRPr="00D27FFB">
              <w:rPr>
                <w:b/>
                <w:szCs w:val="24"/>
              </w:rPr>
              <w:t>00)</w:t>
            </w:r>
          </w:p>
        </w:tc>
        <w:tc>
          <w:tcPr>
            <w:tcW w:w="850" w:type="dxa"/>
          </w:tcPr>
          <w:p w:rsidR="009571DE" w:rsidRPr="00D27FFB" w:rsidRDefault="009571DE" w:rsidP="00D27FFB">
            <w:pPr>
              <w:pStyle w:val="BodyTextIndent3"/>
              <w:tabs>
                <w:tab w:val="clear" w:pos="709"/>
              </w:tabs>
              <w:ind w:left="0"/>
              <w:jc w:val="right"/>
              <w:rPr>
                <w:b/>
                <w:szCs w:val="24"/>
              </w:rPr>
            </w:pPr>
          </w:p>
        </w:tc>
      </w:tr>
      <w:tr w:rsidR="009571DE" w:rsidTr="000844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804" w:type="dxa"/>
          </w:tcPr>
          <w:p w:rsidR="009571DE" w:rsidRPr="009571DE" w:rsidRDefault="009571DE">
            <w:pPr>
              <w:pStyle w:val="BodyTextIndent3"/>
              <w:tabs>
                <w:tab w:val="clear" w:pos="709"/>
              </w:tabs>
              <w:ind w:left="0"/>
              <w:rPr>
                <w:sz w:val="12"/>
                <w:szCs w:val="12"/>
              </w:rPr>
            </w:pPr>
          </w:p>
        </w:tc>
        <w:tc>
          <w:tcPr>
            <w:tcW w:w="1276" w:type="dxa"/>
          </w:tcPr>
          <w:p w:rsidR="009571DE" w:rsidRPr="009571DE" w:rsidRDefault="009571DE" w:rsidP="004778C0">
            <w:pPr>
              <w:pStyle w:val="BodyTextIndent3"/>
              <w:tabs>
                <w:tab w:val="clear" w:pos="709"/>
              </w:tabs>
              <w:ind w:left="0"/>
              <w:jc w:val="right"/>
              <w:rPr>
                <w:sz w:val="12"/>
                <w:szCs w:val="12"/>
              </w:rPr>
            </w:pPr>
          </w:p>
        </w:tc>
        <w:tc>
          <w:tcPr>
            <w:tcW w:w="850" w:type="dxa"/>
          </w:tcPr>
          <w:p w:rsidR="009571DE" w:rsidRPr="009571DE" w:rsidRDefault="009571DE" w:rsidP="004778C0">
            <w:pPr>
              <w:pStyle w:val="BodyTextIndent3"/>
              <w:tabs>
                <w:tab w:val="clear" w:pos="709"/>
              </w:tabs>
              <w:ind w:left="0"/>
              <w:jc w:val="right"/>
              <w:rPr>
                <w:sz w:val="12"/>
                <w:szCs w:val="12"/>
              </w:rPr>
            </w:pPr>
          </w:p>
        </w:tc>
      </w:tr>
    </w:tbl>
    <w:p w:rsidR="00BA6AD1" w:rsidRDefault="00BA6AD1">
      <w:pPr>
        <w:pStyle w:val="BodyTextIndent3"/>
        <w:tabs>
          <w:tab w:val="clear" w:pos="709"/>
        </w:tabs>
        <w:ind w:left="1440"/>
        <w:rPr>
          <w:b/>
          <w:u w:val="single"/>
        </w:rPr>
      </w:pPr>
      <w:r>
        <w:rPr>
          <w:b/>
          <w:u w:val="single"/>
        </w:rPr>
        <w:t xml:space="preserve">                   </w:t>
      </w:r>
    </w:p>
    <w:p w:rsidR="00BA6AD1" w:rsidRDefault="00BA6AD1">
      <w:pPr>
        <w:pStyle w:val="BodyTextIndent3"/>
        <w:numPr>
          <w:ilvl w:val="1"/>
          <w:numId w:val="17"/>
        </w:numPr>
      </w:pPr>
      <w:r w:rsidRPr="00AE143B">
        <w:t xml:space="preserve">The overall projected position is </w:t>
      </w:r>
      <w:r w:rsidR="00EE01F3">
        <w:t>posit</w:t>
      </w:r>
      <w:r w:rsidR="00520EBB" w:rsidRPr="00AE143B">
        <w:t>ive</w:t>
      </w:r>
      <w:r w:rsidR="00490F0C" w:rsidRPr="00AE143B">
        <w:t xml:space="preserve"> </w:t>
      </w:r>
      <w:r w:rsidR="00EE01F3">
        <w:t>h</w:t>
      </w:r>
      <w:r w:rsidR="00DD361A">
        <w:t>owever</w:t>
      </w:r>
      <w:r w:rsidR="00490F0C" w:rsidRPr="00AE143B">
        <w:t xml:space="preserve"> </w:t>
      </w:r>
      <w:r w:rsidR="00EE01F3">
        <w:t>some</w:t>
      </w:r>
      <w:r w:rsidR="00490F0C" w:rsidRPr="00AE143B">
        <w:t xml:space="preserve"> of the positive benefits are non-recurring</w:t>
      </w:r>
      <w:r w:rsidR="00520EBB" w:rsidRPr="00AE143B">
        <w:t>.</w:t>
      </w:r>
      <w:r w:rsidRPr="00AE143B">
        <w:t xml:space="preserve">  It will be important to maintain a prudent approach so as to ensure a sustainable budget position for future years </w:t>
      </w:r>
      <w:r w:rsidR="00490F0C" w:rsidRPr="00AE143B">
        <w:t xml:space="preserve">and to avoid any significant variance at the year end. </w:t>
      </w:r>
    </w:p>
    <w:p w:rsidR="00EE01F3" w:rsidRPr="00AE143B" w:rsidRDefault="00EE01F3" w:rsidP="00EE01F3">
      <w:pPr>
        <w:pStyle w:val="BodyTextIndent3"/>
        <w:tabs>
          <w:tab w:val="clear" w:pos="709"/>
        </w:tabs>
        <w:ind w:left="720"/>
      </w:pPr>
    </w:p>
    <w:p w:rsidR="00DD361A" w:rsidRDefault="00DD361A">
      <w:pPr>
        <w:spacing w:line="240" w:lineRule="auto"/>
      </w:pPr>
      <w:r>
        <w:br w:type="page"/>
      </w:r>
    </w:p>
    <w:p w:rsidR="00BA6AD1" w:rsidRDefault="00BA6AD1">
      <w:pPr>
        <w:pStyle w:val="BodyTextIndent3"/>
        <w:tabs>
          <w:tab w:val="clear" w:pos="709"/>
        </w:tabs>
        <w:ind w:left="0"/>
      </w:pPr>
    </w:p>
    <w:p w:rsidR="00BA6AD1" w:rsidRDefault="00BA6AD1">
      <w:r>
        <w:rPr>
          <w:b/>
        </w:rPr>
        <w:t>6.</w:t>
      </w:r>
      <w:r>
        <w:rPr>
          <w:b/>
        </w:rPr>
        <w:tab/>
        <w:t>HIGH RISK BUDGETS</w:t>
      </w:r>
    </w:p>
    <w:p w:rsidR="00BA6AD1" w:rsidRDefault="00BA6AD1">
      <w:pPr>
        <w:numPr>
          <w:ilvl w:val="1"/>
          <w:numId w:val="33"/>
        </w:numPr>
      </w:pPr>
      <w:r>
        <w:t>A number of high-risk budgets have been identified which require detailed monitoring throughout the year. These include income budgets</w:t>
      </w:r>
      <w:r w:rsidR="00292680">
        <w:t>,</w:t>
      </w:r>
      <w:r>
        <w:t xml:space="preserve"> recurring and non-recurring bids</w:t>
      </w:r>
      <w:r w:rsidR="00292680">
        <w:t>,</w:t>
      </w:r>
      <w:r>
        <w:t xml:space="preserve"> approved in the 20</w:t>
      </w:r>
      <w:r w:rsidR="00432B91">
        <w:t>1</w:t>
      </w:r>
      <w:r>
        <w:t>0/1</w:t>
      </w:r>
      <w:r w:rsidR="00432B91">
        <w:t>1</w:t>
      </w:r>
      <w:r>
        <w:t xml:space="preserve"> Council Resolution.</w:t>
      </w:r>
    </w:p>
    <w:p w:rsidR="00BA6AD1" w:rsidRDefault="00BA6AD1"/>
    <w:p w:rsidR="00BA6AD1" w:rsidRDefault="00BA6AD1">
      <w:pPr>
        <w:ind w:left="709" w:hanging="709"/>
      </w:pPr>
      <w:r>
        <w:t>6.2</w:t>
      </w:r>
      <w:r>
        <w:tab/>
      </w:r>
      <w:r>
        <w:tab/>
        <w:t xml:space="preserve">The position of income budgets deemed to be high risk can be summarised as follows: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701"/>
        <w:gridCol w:w="1417"/>
        <w:gridCol w:w="1560"/>
        <w:gridCol w:w="1275"/>
        <w:gridCol w:w="851"/>
      </w:tblGrid>
      <w:tr w:rsidR="00BA6AD1" w:rsidTr="001B4D6E">
        <w:tc>
          <w:tcPr>
            <w:tcW w:w="2693" w:type="dxa"/>
            <w:shd w:val="clear" w:color="auto" w:fill="31849B" w:themeFill="accent5" w:themeFillShade="BF"/>
          </w:tcPr>
          <w:p w:rsidR="00BA6AD1" w:rsidRPr="00814427" w:rsidRDefault="00BA6AD1">
            <w:pPr>
              <w:rPr>
                <w:b/>
                <w:color w:val="FFFFFF" w:themeColor="background1"/>
                <w:sz w:val="22"/>
                <w:szCs w:val="22"/>
              </w:rPr>
            </w:pPr>
            <w:r w:rsidRPr="00814427">
              <w:rPr>
                <w:b/>
                <w:color w:val="FFFFFF" w:themeColor="background1"/>
                <w:sz w:val="22"/>
                <w:szCs w:val="22"/>
              </w:rPr>
              <w:t>Budget Area</w:t>
            </w:r>
          </w:p>
        </w:tc>
        <w:tc>
          <w:tcPr>
            <w:tcW w:w="1701" w:type="dxa"/>
            <w:shd w:val="clear" w:color="auto" w:fill="31849B" w:themeFill="accent5" w:themeFillShade="BF"/>
          </w:tcPr>
          <w:p w:rsidR="00BA6AD1" w:rsidRPr="00814427" w:rsidRDefault="00BA6AD1">
            <w:pPr>
              <w:jc w:val="center"/>
              <w:rPr>
                <w:b/>
                <w:color w:val="FFFFFF" w:themeColor="background1"/>
                <w:sz w:val="22"/>
                <w:szCs w:val="22"/>
              </w:rPr>
            </w:pPr>
            <w:r w:rsidRPr="00814427">
              <w:rPr>
                <w:b/>
                <w:color w:val="FFFFFF" w:themeColor="background1"/>
                <w:sz w:val="22"/>
                <w:szCs w:val="22"/>
              </w:rPr>
              <w:t>Annual Budget</w:t>
            </w:r>
          </w:p>
          <w:p w:rsidR="00BA6AD1" w:rsidRPr="00814427" w:rsidRDefault="00BA6AD1">
            <w:pPr>
              <w:jc w:val="center"/>
              <w:rPr>
                <w:b/>
                <w:color w:val="FFFFFF" w:themeColor="background1"/>
                <w:sz w:val="22"/>
                <w:szCs w:val="22"/>
              </w:rPr>
            </w:pPr>
            <w:r w:rsidRPr="00814427">
              <w:rPr>
                <w:b/>
                <w:color w:val="FFFFFF" w:themeColor="background1"/>
                <w:sz w:val="22"/>
                <w:szCs w:val="22"/>
              </w:rPr>
              <w:t>£</w:t>
            </w:r>
          </w:p>
        </w:tc>
        <w:tc>
          <w:tcPr>
            <w:tcW w:w="1417" w:type="dxa"/>
            <w:shd w:val="clear" w:color="auto" w:fill="31849B" w:themeFill="accent5" w:themeFillShade="BF"/>
          </w:tcPr>
          <w:p w:rsidR="00BA6AD1" w:rsidRPr="00814427" w:rsidRDefault="00BA6AD1">
            <w:pPr>
              <w:jc w:val="center"/>
              <w:rPr>
                <w:b/>
                <w:color w:val="FFFFFF" w:themeColor="background1"/>
                <w:sz w:val="22"/>
                <w:szCs w:val="22"/>
              </w:rPr>
            </w:pPr>
            <w:r w:rsidRPr="00814427">
              <w:rPr>
                <w:b/>
                <w:color w:val="FFFFFF" w:themeColor="background1"/>
                <w:sz w:val="22"/>
                <w:szCs w:val="22"/>
              </w:rPr>
              <w:t>Budget</w:t>
            </w:r>
          </w:p>
          <w:p w:rsidR="00BA6AD1" w:rsidRPr="00814427" w:rsidRDefault="00BA6AD1">
            <w:pPr>
              <w:jc w:val="center"/>
              <w:rPr>
                <w:b/>
                <w:color w:val="FFFFFF" w:themeColor="background1"/>
                <w:sz w:val="22"/>
                <w:szCs w:val="22"/>
              </w:rPr>
            </w:pPr>
            <w:r w:rsidRPr="00814427">
              <w:rPr>
                <w:b/>
                <w:color w:val="FFFFFF" w:themeColor="background1"/>
                <w:sz w:val="22"/>
                <w:szCs w:val="22"/>
              </w:rPr>
              <w:t>to date</w:t>
            </w:r>
          </w:p>
          <w:p w:rsidR="00BA6AD1" w:rsidRPr="00814427" w:rsidRDefault="00BA6AD1">
            <w:pPr>
              <w:jc w:val="center"/>
              <w:rPr>
                <w:b/>
                <w:color w:val="FFFFFF" w:themeColor="background1"/>
                <w:sz w:val="22"/>
                <w:szCs w:val="22"/>
              </w:rPr>
            </w:pPr>
            <w:r w:rsidRPr="00814427">
              <w:rPr>
                <w:b/>
                <w:color w:val="FFFFFF" w:themeColor="background1"/>
                <w:sz w:val="22"/>
                <w:szCs w:val="22"/>
              </w:rPr>
              <w:t>£</w:t>
            </w:r>
          </w:p>
        </w:tc>
        <w:tc>
          <w:tcPr>
            <w:tcW w:w="1560" w:type="dxa"/>
            <w:shd w:val="clear" w:color="auto" w:fill="31849B" w:themeFill="accent5" w:themeFillShade="BF"/>
          </w:tcPr>
          <w:p w:rsidR="00BA6AD1" w:rsidRPr="00814427" w:rsidRDefault="00BA6AD1">
            <w:pPr>
              <w:jc w:val="center"/>
              <w:rPr>
                <w:b/>
                <w:color w:val="FFFFFF" w:themeColor="background1"/>
                <w:sz w:val="22"/>
                <w:szCs w:val="22"/>
              </w:rPr>
            </w:pPr>
            <w:r w:rsidRPr="00814427">
              <w:rPr>
                <w:b/>
                <w:color w:val="FFFFFF" w:themeColor="background1"/>
                <w:sz w:val="22"/>
                <w:szCs w:val="22"/>
              </w:rPr>
              <w:t>Actual to date</w:t>
            </w:r>
          </w:p>
          <w:p w:rsidR="00BA6AD1" w:rsidRPr="00814427" w:rsidRDefault="00BA6AD1">
            <w:pPr>
              <w:jc w:val="center"/>
              <w:rPr>
                <w:b/>
                <w:color w:val="FFFFFF" w:themeColor="background1"/>
                <w:sz w:val="22"/>
                <w:szCs w:val="22"/>
              </w:rPr>
            </w:pPr>
            <w:r w:rsidRPr="00814427">
              <w:rPr>
                <w:b/>
                <w:color w:val="FFFFFF" w:themeColor="background1"/>
                <w:sz w:val="22"/>
                <w:szCs w:val="22"/>
              </w:rPr>
              <w:t>£</w:t>
            </w:r>
          </w:p>
        </w:tc>
        <w:tc>
          <w:tcPr>
            <w:tcW w:w="1275" w:type="dxa"/>
            <w:shd w:val="clear" w:color="auto" w:fill="31849B" w:themeFill="accent5" w:themeFillShade="BF"/>
          </w:tcPr>
          <w:p w:rsidR="00BA6AD1" w:rsidRPr="00814427" w:rsidRDefault="00BA6AD1">
            <w:pPr>
              <w:jc w:val="center"/>
              <w:rPr>
                <w:b/>
                <w:color w:val="FFFFFF" w:themeColor="background1"/>
                <w:sz w:val="22"/>
                <w:szCs w:val="22"/>
              </w:rPr>
            </w:pPr>
            <w:r w:rsidRPr="00814427">
              <w:rPr>
                <w:b/>
                <w:color w:val="FFFFFF" w:themeColor="background1"/>
                <w:sz w:val="22"/>
                <w:szCs w:val="22"/>
              </w:rPr>
              <w:t>Variance</w:t>
            </w:r>
          </w:p>
          <w:p w:rsidR="00BA6AD1" w:rsidRPr="00814427" w:rsidRDefault="00BA6AD1">
            <w:pPr>
              <w:jc w:val="center"/>
              <w:rPr>
                <w:b/>
                <w:color w:val="FFFFFF" w:themeColor="background1"/>
                <w:sz w:val="22"/>
                <w:szCs w:val="22"/>
              </w:rPr>
            </w:pPr>
          </w:p>
          <w:p w:rsidR="00BA6AD1" w:rsidRPr="00814427" w:rsidRDefault="00BA6AD1">
            <w:pPr>
              <w:jc w:val="center"/>
              <w:rPr>
                <w:b/>
                <w:color w:val="FFFFFF" w:themeColor="background1"/>
                <w:sz w:val="22"/>
                <w:szCs w:val="22"/>
              </w:rPr>
            </w:pPr>
            <w:r w:rsidRPr="00814427">
              <w:rPr>
                <w:b/>
                <w:color w:val="FFFFFF" w:themeColor="background1"/>
                <w:sz w:val="22"/>
                <w:szCs w:val="22"/>
              </w:rPr>
              <w:t>£</w:t>
            </w:r>
          </w:p>
        </w:tc>
        <w:tc>
          <w:tcPr>
            <w:tcW w:w="851" w:type="dxa"/>
            <w:shd w:val="clear" w:color="auto" w:fill="31849B" w:themeFill="accent5" w:themeFillShade="BF"/>
          </w:tcPr>
          <w:p w:rsidR="00BA6AD1" w:rsidRPr="00814427" w:rsidRDefault="00BA6AD1">
            <w:pPr>
              <w:jc w:val="center"/>
              <w:rPr>
                <w:b/>
                <w:color w:val="FFFFFF" w:themeColor="background1"/>
                <w:sz w:val="22"/>
                <w:szCs w:val="22"/>
              </w:rPr>
            </w:pPr>
            <w:r w:rsidRPr="00814427">
              <w:rPr>
                <w:b/>
                <w:color w:val="FFFFFF" w:themeColor="background1"/>
                <w:sz w:val="22"/>
                <w:szCs w:val="22"/>
              </w:rPr>
              <w:t>Para.</w:t>
            </w:r>
          </w:p>
        </w:tc>
      </w:tr>
      <w:tr w:rsidR="00BA6AD1" w:rsidTr="00493E55">
        <w:tc>
          <w:tcPr>
            <w:tcW w:w="2693" w:type="dxa"/>
          </w:tcPr>
          <w:p w:rsidR="00BA6AD1" w:rsidRPr="00B43062" w:rsidRDefault="00BA0CE0" w:rsidP="00BA0CE0">
            <w:pPr>
              <w:rPr>
                <w:sz w:val="22"/>
                <w:szCs w:val="22"/>
              </w:rPr>
            </w:pPr>
            <w:r w:rsidRPr="00B43062">
              <w:rPr>
                <w:sz w:val="22"/>
                <w:szCs w:val="22"/>
              </w:rPr>
              <w:t>Land Charges</w:t>
            </w:r>
          </w:p>
        </w:tc>
        <w:tc>
          <w:tcPr>
            <w:tcW w:w="1701" w:type="dxa"/>
          </w:tcPr>
          <w:p w:rsidR="00BA6AD1" w:rsidRPr="00B43062" w:rsidRDefault="00292680">
            <w:pPr>
              <w:jc w:val="right"/>
              <w:rPr>
                <w:sz w:val="22"/>
                <w:szCs w:val="22"/>
              </w:rPr>
            </w:pPr>
            <w:r w:rsidRPr="00B43062">
              <w:rPr>
                <w:sz w:val="22"/>
                <w:szCs w:val="22"/>
              </w:rPr>
              <w:t>(132,600)</w:t>
            </w:r>
          </w:p>
        </w:tc>
        <w:tc>
          <w:tcPr>
            <w:tcW w:w="1417" w:type="dxa"/>
          </w:tcPr>
          <w:p w:rsidR="00BA6AD1" w:rsidRPr="00B43062" w:rsidRDefault="00B43062" w:rsidP="00493E55">
            <w:pPr>
              <w:jc w:val="right"/>
              <w:rPr>
                <w:sz w:val="22"/>
                <w:szCs w:val="22"/>
              </w:rPr>
            </w:pPr>
            <w:r w:rsidRPr="00B43062">
              <w:rPr>
                <w:sz w:val="22"/>
                <w:szCs w:val="22"/>
              </w:rPr>
              <w:t>(35,685)</w:t>
            </w:r>
          </w:p>
        </w:tc>
        <w:tc>
          <w:tcPr>
            <w:tcW w:w="1560" w:type="dxa"/>
          </w:tcPr>
          <w:p w:rsidR="00BA6AD1" w:rsidRPr="00B43062" w:rsidRDefault="00B43062" w:rsidP="00493E55">
            <w:pPr>
              <w:jc w:val="right"/>
              <w:rPr>
                <w:sz w:val="22"/>
                <w:szCs w:val="22"/>
              </w:rPr>
            </w:pPr>
            <w:r w:rsidRPr="00B43062">
              <w:rPr>
                <w:sz w:val="22"/>
                <w:szCs w:val="22"/>
              </w:rPr>
              <w:t>(42,701)</w:t>
            </w:r>
          </w:p>
        </w:tc>
        <w:tc>
          <w:tcPr>
            <w:tcW w:w="1275" w:type="dxa"/>
          </w:tcPr>
          <w:p w:rsidR="00BA6AD1" w:rsidRPr="00B43062" w:rsidRDefault="00B43062" w:rsidP="00493E55">
            <w:pPr>
              <w:jc w:val="right"/>
              <w:rPr>
                <w:sz w:val="22"/>
                <w:szCs w:val="22"/>
              </w:rPr>
            </w:pPr>
            <w:r w:rsidRPr="00B43062">
              <w:rPr>
                <w:sz w:val="22"/>
                <w:szCs w:val="22"/>
              </w:rPr>
              <w:t>(7,016)</w:t>
            </w:r>
          </w:p>
        </w:tc>
        <w:tc>
          <w:tcPr>
            <w:tcW w:w="851" w:type="dxa"/>
          </w:tcPr>
          <w:p w:rsidR="00BA6AD1" w:rsidRPr="00B43062" w:rsidRDefault="00B43062">
            <w:pPr>
              <w:jc w:val="right"/>
              <w:rPr>
                <w:sz w:val="22"/>
                <w:szCs w:val="22"/>
              </w:rPr>
            </w:pPr>
            <w:r w:rsidRPr="00B43062">
              <w:rPr>
                <w:sz w:val="22"/>
                <w:szCs w:val="22"/>
              </w:rPr>
              <w:t>6.3</w:t>
            </w:r>
          </w:p>
        </w:tc>
      </w:tr>
      <w:tr w:rsidR="00BA6AD1" w:rsidTr="00493E55">
        <w:tc>
          <w:tcPr>
            <w:tcW w:w="2693" w:type="dxa"/>
          </w:tcPr>
          <w:p w:rsidR="00BA6AD1" w:rsidRPr="00B43062" w:rsidRDefault="00BA0CE0" w:rsidP="00BA0CE0">
            <w:pPr>
              <w:rPr>
                <w:sz w:val="22"/>
                <w:szCs w:val="22"/>
              </w:rPr>
            </w:pPr>
            <w:r w:rsidRPr="00B43062">
              <w:rPr>
                <w:sz w:val="22"/>
                <w:szCs w:val="22"/>
              </w:rPr>
              <w:t xml:space="preserve">Lanes </w:t>
            </w:r>
          </w:p>
        </w:tc>
        <w:tc>
          <w:tcPr>
            <w:tcW w:w="1701" w:type="dxa"/>
          </w:tcPr>
          <w:p w:rsidR="00BA6AD1" w:rsidRPr="00B43062" w:rsidRDefault="00292680">
            <w:pPr>
              <w:jc w:val="right"/>
              <w:rPr>
                <w:sz w:val="22"/>
                <w:szCs w:val="22"/>
              </w:rPr>
            </w:pPr>
            <w:r w:rsidRPr="00B43062">
              <w:rPr>
                <w:sz w:val="22"/>
                <w:szCs w:val="22"/>
              </w:rPr>
              <w:t>(1,583,200)</w:t>
            </w:r>
          </w:p>
        </w:tc>
        <w:tc>
          <w:tcPr>
            <w:tcW w:w="1417" w:type="dxa"/>
          </w:tcPr>
          <w:p w:rsidR="00BA6AD1" w:rsidRPr="00B43062" w:rsidRDefault="00B43062" w:rsidP="00493E55">
            <w:pPr>
              <w:jc w:val="right"/>
              <w:rPr>
                <w:sz w:val="22"/>
                <w:szCs w:val="22"/>
              </w:rPr>
            </w:pPr>
            <w:r w:rsidRPr="00B43062">
              <w:rPr>
                <w:sz w:val="22"/>
                <w:szCs w:val="22"/>
              </w:rPr>
              <w:t>(395,800)</w:t>
            </w:r>
          </w:p>
        </w:tc>
        <w:tc>
          <w:tcPr>
            <w:tcW w:w="1560" w:type="dxa"/>
          </w:tcPr>
          <w:p w:rsidR="00BA6AD1" w:rsidRPr="00B43062" w:rsidRDefault="00B43062" w:rsidP="00B43062">
            <w:pPr>
              <w:jc w:val="right"/>
              <w:rPr>
                <w:sz w:val="22"/>
                <w:szCs w:val="22"/>
              </w:rPr>
            </w:pPr>
            <w:r w:rsidRPr="00B43062">
              <w:rPr>
                <w:sz w:val="22"/>
                <w:szCs w:val="22"/>
              </w:rPr>
              <w:t>(314,400)</w:t>
            </w:r>
          </w:p>
        </w:tc>
        <w:tc>
          <w:tcPr>
            <w:tcW w:w="1275" w:type="dxa"/>
          </w:tcPr>
          <w:p w:rsidR="00BA6AD1" w:rsidRPr="00B43062" w:rsidRDefault="00B43062" w:rsidP="00493E55">
            <w:pPr>
              <w:jc w:val="right"/>
              <w:rPr>
                <w:sz w:val="22"/>
                <w:szCs w:val="22"/>
              </w:rPr>
            </w:pPr>
            <w:r w:rsidRPr="00B43062">
              <w:rPr>
                <w:sz w:val="22"/>
                <w:szCs w:val="22"/>
              </w:rPr>
              <w:t>81,400</w:t>
            </w:r>
          </w:p>
        </w:tc>
        <w:tc>
          <w:tcPr>
            <w:tcW w:w="851" w:type="dxa"/>
          </w:tcPr>
          <w:p w:rsidR="00BA6AD1" w:rsidRPr="00B43062" w:rsidRDefault="00B43062">
            <w:pPr>
              <w:jc w:val="right"/>
              <w:rPr>
                <w:sz w:val="22"/>
                <w:szCs w:val="22"/>
              </w:rPr>
            </w:pPr>
            <w:r w:rsidRPr="00B43062">
              <w:rPr>
                <w:sz w:val="22"/>
                <w:szCs w:val="22"/>
              </w:rPr>
              <w:t>6.4</w:t>
            </w:r>
          </w:p>
        </w:tc>
      </w:tr>
      <w:tr w:rsidR="00BA6AD1" w:rsidTr="00493E55">
        <w:tc>
          <w:tcPr>
            <w:tcW w:w="2693" w:type="dxa"/>
            <w:tcBorders>
              <w:bottom w:val="nil"/>
            </w:tcBorders>
          </w:tcPr>
          <w:p w:rsidR="00BA6AD1" w:rsidRPr="00B43062" w:rsidRDefault="00BA0CE0">
            <w:pPr>
              <w:rPr>
                <w:sz w:val="22"/>
                <w:szCs w:val="22"/>
              </w:rPr>
            </w:pPr>
            <w:r w:rsidRPr="00B43062">
              <w:rPr>
                <w:sz w:val="22"/>
                <w:szCs w:val="22"/>
              </w:rPr>
              <w:t>Car Parking</w:t>
            </w:r>
          </w:p>
        </w:tc>
        <w:tc>
          <w:tcPr>
            <w:tcW w:w="1701" w:type="dxa"/>
            <w:tcBorders>
              <w:bottom w:val="nil"/>
            </w:tcBorders>
          </w:tcPr>
          <w:p w:rsidR="00BA6AD1" w:rsidRPr="00B43062" w:rsidRDefault="00B43062">
            <w:pPr>
              <w:jc w:val="right"/>
              <w:rPr>
                <w:sz w:val="22"/>
                <w:szCs w:val="22"/>
              </w:rPr>
            </w:pPr>
            <w:r w:rsidRPr="00B43062">
              <w:rPr>
                <w:sz w:val="22"/>
                <w:szCs w:val="22"/>
              </w:rPr>
              <w:t>(1,182,600)</w:t>
            </w:r>
          </w:p>
        </w:tc>
        <w:tc>
          <w:tcPr>
            <w:tcW w:w="1417" w:type="dxa"/>
            <w:tcBorders>
              <w:bottom w:val="nil"/>
            </w:tcBorders>
          </w:tcPr>
          <w:p w:rsidR="00BA6AD1" w:rsidRPr="00B43062" w:rsidRDefault="00B43062" w:rsidP="00493E55">
            <w:pPr>
              <w:jc w:val="right"/>
              <w:rPr>
                <w:sz w:val="22"/>
                <w:szCs w:val="22"/>
              </w:rPr>
            </w:pPr>
            <w:r w:rsidRPr="00B43062">
              <w:rPr>
                <w:sz w:val="22"/>
                <w:szCs w:val="22"/>
              </w:rPr>
              <w:t>(395,612)</w:t>
            </w:r>
          </w:p>
        </w:tc>
        <w:tc>
          <w:tcPr>
            <w:tcW w:w="1560" w:type="dxa"/>
            <w:tcBorders>
              <w:bottom w:val="nil"/>
            </w:tcBorders>
          </w:tcPr>
          <w:p w:rsidR="00BA6AD1" w:rsidRPr="00B43062" w:rsidRDefault="00B43062" w:rsidP="00493E55">
            <w:pPr>
              <w:jc w:val="right"/>
              <w:rPr>
                <w:sz w:val="22"/>
                <w:szCs w:val="22"/>
              </w:rPr>
            </w:pPr>
            <w:r w:rsidRPr="00B43062">
              <w:rPr>
                <w:sz w:val="22"/>
                <w:szCs w:val="22"/>
              </w:rPr>
              <w:t>(388,956)</w:t>
            </w:r>
          </w:p>
        </w:tc>
        <w:tc>
          <w:tcPr>
            <w:tcW w:w="1275" w:type="dxa"/>
            <w:tcBorders>
              <w:bottom w:val="nil"/>
            </w:tcBorders>
          </w:tcPr>
          <w:p w:rsidR="00BA6AD1" w:rsidRPr="00B43062" w:rsidRDefault="00B43062" w:rsidP="00493E55">
            <w:pPr>
              <w:jc w:val="right"/>
              <w:rPr>
                <w:sz w:val="22"/>
                <w:szCs w:val="22"/>
              </w:rPr>
            </w:pPr>
            <w:r w:rsidRPr="00B43062">
              <w:rPr>
                <w:sz w:val="22"/>
                <w:szCs w:val="22"/>
              </w:rPr>
              <w:t>6,656</w:t>
            </w:r>
          </w:p>
        </w:tc>
        <w:tc>
          <w:tcPr>
            <w:tcW w:w="851" w:type="dxa"/>
            <w:tcBorders>
              <w:bottom w:val="nil"/>
            </w:tcBorders>
          </w:tcPr>
          <w:p w:rsidR="00BA6AD1" w:rsidRPr="00B43062" w:rsidRDefault="00B43062">
            <w:pPr>
              <w:jc w:val="right"/>
              <w:rPr>
                <w:sz w:val="22"/>
                <w:szCs w:val="22"/>
              </w:rPr>
            </w:pPr>
            <w:r w:rsidRPr="00B43062">
              <w:rPr>
                <w:sz w:val="22"/>
                <w:szCs w:val="22"/>
              </w:rPr>
              <w:t>6.5</w:t>
            </w:r>
          </w:p>
        </w:tc>
      </w:tr>
      <w:tr w:rsidR="0066492D" w:rsidTr="00493E55">
        <w:tc>
          <w:tcPr>
            <w:tcW w:w="2693" w:type="dxa"/>
            <w:tcBorders>
              <w:bottom w:val="single" w:sz="4" w:space="0" w:color="auto"/>
            </w:tcBorders>
          </w:tcPr>
          <w:p w:rsidR="0066492D" w:rsidRPr="00B43062" w:rsidRDefault="0066492D" w:rsidP="00BA0CE0">
            <w:pPr>
              <w:rPr>
                <w:sz w:val="22"/>
                <w:szCs w:val="22"/>
              </w:rPr>
            </w:pPr>
            <w:r w:rsidRPr="00B43062">
              <w:rPr>
                <w:sz w:val="22"/>
                <w:szCs w:val="22"/>
              </w:rPr>
              <w:t xml:space="preserve">Bereavement Services  </w:t>
            </w:r>
          </w:p>
        </w:tc>
        <w:tc>
          <w:tcPr>
            <w:tcW w:w="1701" w:type="dxa"/>
            <w:tcBorders>
              <w:bottom w:val="single" w:sz="4" w:space="0" w:color="auto"/>
            </w:tcBorders>
          </w:tcPr>
          <w:p w:rsidR="0066492D" w:rsidRPr="00B43062" w:rsidRDefault="00B43062" w:rsidP="0066492D">
            <w:pPr>
              <w:jc w:val="right"/>
              <w:rPr>
                <w:sz w:val="22"/>
                <w:szCs w:val="22"/>
              </w:rPr>
            </w:pPr>
            <w:r w:rsidRPr="00B43062">
              <w:rPr>
                <w:sz w:val="22"/>
                <w:szCs w:val="22"/>
              </w:rPr>
              <w:t>(1,081,400)</w:t>
            </w:r>
          </w:p>
        </w:tc>
        <w:tc>
          <w:tcPr>
            <w:tcW w:w="1417" w:type="dxa"/>
            <w:tcBorders>
              <w:bottom w:val="single" w:sz="4" w:space="0" w:color="auto"/>
            </w:tcBorders>
          </w:tcPr>
          <w:p w:rsidR="0066492D" w:rsidRPr="00B43062" w:rsidRDefault="00B43062" w:rsidP="0066492D">
            <w:pPr>
              <w:jc w:val="right"/>
              <w:rPr>
                <w:sz w:val="22"/>
                <w:szCs w:val="22"/>
              </w:rPr>
            </w:pPr>
            <w:r w:rsidRPr="00B43062">
              <w:rPr>
                <w:sz w:val="22"/>
                <w:szCs w:val="22"/>
              </w:rPr>
              <w:t>(254,976)</w:t>
            </w:r>
          </w:p>
        </w:tc>
        <w:tc>
          <w:tcPr>
            <w:tcW w:w="1560" w:type="dxa"/>
            <w:tcBorders>
              <w:bottom w:val="single" w:sz="4" w:space="0" w:color="auto"/>
            </w:tcBorders>
          </w:tcPr>
          <w:p w:rsidR="0066492D" w:rsidRPr="00B43062" w:rsidRDefault="00B43062" w:rsidP="00B43062">
            <w:pPr>
              <w:jc w:val="right"/>
              <w:rPr>
                <w:sz w:val="22"/>
                <w:szCs w:val="22"/>
              </w:rPr>
            </w:pPr>
            <w:r w:rsidRPr="00B43062">
              <w:rPr>
                <w:sz w:val="22"/>
                <w:szCs w:val="22"/>
              </w:rPr>
              <w:t>(259,958)</w:t>
            </w:r>
          </w:p>
        </w:tc>
        <w:tc>
          <w:tcPr>
            <w:tcW w:w="1275" w:type="dxa"/>
            <w:tcBorders>
              <w:bottom w:val="single" w:sz="4" w:space="0" w:color="auto"/>
            </w:tcBorders>
          </w:tcPr>
          <w:p w:rsidR="0066492D" w:rsidRPr="00B43062" w:rsidRDefault="00B43062" w:rsidP="0066492D">
            <w:pPr>
              <w:jc w:val="right"/>
              <w:rPr>
                <w:sz w:val="22"/>
                <w:szCs w:val="22"/>
              </w:rPr>
            </w:pPr>
            <w:r w:rsidRPr="00B43062">
              <w:rPr>
                <w:sz w:val="22"/>
                <w:szCs w:val="22"/>
              </w:rPr>
              <w:t>(4,982)</w:t>
            </w:r>
          </w:p>
        </w:tc>
        <w:tc>
          <w:tcPr>
            <w:tcW w:w="851" w:type="dxa"/>
            <w:tcBorders>
              <w:bottom w:val="single" w:sz="4" w:space="0" w:color="auto"/>
            </w:tcBorders>
          </w:tcPr>
          <w:p w:rsidR="0066492D" w:rsidRPr="00B43062" w:rsidRDefault="00B43062" w:rsidP="0066492D">
            <w:pPr>
              <w:jc w:val="right"/>
              <w:rPr>
                <w:sz w:val="22"/>
                <w:szCs w:val="22"/>
              </w:rPr>
            </w:pPr>
            <w:r w:rsidRPr="00B43062">
              <w:rPr>
                <w:sz w:val="22"/>
                <w:szCs w:val="22"/>
              </w:rPr>
              <w:t>6.6</w:t>
            </w:r>
          </w:p>
        </w:tc>
      </w:tr>
      <w:tr w:rsidR="00292680" w:rsidTr="00493E55">
        <w:tc>
          <w:tcPr>
            <w:tcW w:w="2693" w:type="dxa"/>
            <w:tcBorders>
              <w:bottom w:val="single" w:sz="4" w:space="0" w:color="auto"/>
            </w:tcBorders>
          </w:tcPr>
          <w:p w:rsidR="00292680" w:rsidRPr="00B43062" w:rsidRDefault="00292680" w:rsidP="00BA0CE0">
            <w:pPr>
              <w:rPr>
                <w:sz w:val="22"/>
                <w:szCs w:val="22"/>
              </w:rPr>
            </w:pPr>
            <w:r w:rsidRPr="00B43062">
              <w:rPr>
                <w:sz w:val="22"/>
                <w:szCs w:val="22"/>
              </w:rPr>
              <w:t>Development Control</w:t>
            </w:r>
          </w:p>
        </w:tc>
        <w:tc>
          <w:tcPr>
            <w:tcW w:w="1701" w:type="dxa"/>
            <w:tcBorders>
              <w:bottom w:val="single" w:sz="4" w:space="0" w:color="auto"/>
            </w:tcBorders>
          </w:tcPr>
          <w:p w:rsidR="00292680" w:rsidRPr="00B43062" w:rsidRDefault="00B43062" w:rsidP="0066492D">
            <w:pPr>
              <w:jc w:val="right"/>
              <w:rPr>
                <w:sz w:val="22"/>
                <w:szCs w:val="22"/>
              </w:rPr>
            </w:pPr>
            <w:r w:rsidRPr="00B43062">
              <w:rPr>
                <w:sz w:val="22"/>
                <w:szCs w:val="22"/>
              </w:rPr>
              <w:t>(637,100)</w:t>
            </w:r>
          </w:p>
        </w:tc>
        <w:tc>
          <w:tcPr>
            <w:tcW w:w="1417" w:type="dxa"/>
            <w:tcBorders>
              <w:bottom w:val="single" w:sz="4" w:space="0" w:color="auto"/>
            </w:tcBorders>
          </w:tcPr>
          <w:p w:rsidR="00292680" w:rsidRPr="00B43062" w:rsidRDefault="00B43062" w:rsidP="0066492D">
            <w:pPr>
              <w:jc w:val="right"/>
              <w:rPr>
                <w:sz w:val="22"/>
                <w:szCs w:val="22"/>
              </w:rPr>
            </w:pPr>
            <w:r w:rsidRPr="00B43062">
              <w:rPr>
                <w:sz w:val="22"/>
                <w:szCs w:val="22"/>
              </w:rPr>
              <w:t>(180,172)</w:t>
            </w:r>
          </w:p>
        </w:tc>
        <w:tc>
          <w:tcPr>
            <w:tcW w:w="1560" w:type="dxa"/>
            <w:tcBorders>
              <w:bottom w:val="single" w:sz="4" w:space="0" w:color="auto"/>
            </w:tcBorders>
          </w:tcPr>
          <w:p w:rsidR="00292680" w:rsidRPr="00B43062" w:rsidRDefault="00B43062" w:rsidP="00B43062">
            <w:pPr>
              <w:jc w:val="right"/>
              <w:rPr>
                <w:sz w:val="22"/>
                <w:szCs w:val="22"/>
              </w:rPr>
            </w:pPr>
            <w:r w:rsidRPr="00B43062">
              <w:rPr>
                <w:sz w:val="22"/>
                <w:szCs w:val="22"/>
              </w:rPr>
              <w:t>(105,296)</w:t>
            </w:r>
          </w:p>
        </w:tc>
        <w:tc>
          <w:tcPr>
            <w:tcW w:w="1275" w:type="dxa"/>
            <w:tcBorders>
              <w:bottom w:val="single" w:sz="4" w:space="0" w:color="auto"/>
            </w:tcBorders>
          </w:tcPr>
          <w:p w:rsidR="00292680" w:rsidRPr="00B43062" w:rsidRDefault="00B43062" w:rsidP="0066492D">
            <w:pPr>
              <w:jc w:val="right"/>
              <w:rPr>
                <w:sz w:val="22"/>
                <w:szCs w:val="22"/>
              </w:rPr>
            </w:pPr>
            <w:r w:rsidRPr="00B43062">
              <w:rPr>
                <w:sz w:val="22"/>
                <w:szCs w:val="22"/>
              </w:rPr>
              <w:t>74,876</w:t>
            </w:r>
          </w:p>
        </w:tc>
        <w:tc>
          <w:tcPr>
            <w:tcW w:w="851" w:type="dxa"/>
            <w:tcBorders>
              <w:bottom w:val="single" w:sz="4" w:space="0" w:color="auto"/>
            </w:tcBorders>
          </w:tcPr>
          <w:p w:rsidR="00292680" w:rsidRPr="00B43062" w:rsidRDefault="00B43062" w:rsidP="0066492D">
            <w:pPr>
              <w:jc w:val="right"/>
              <w:rPr>
                <w:sz w:val="22"/>
                <w:szCs w:val="22"/>
              </w:rPr>
            </w:pPr>
            <w:r w:rsidRPr="00B43062">
              <w:rPr>
                <w:sz w:val="22"/>
                <w:szCs w:val="22"/>
              </w:rPr>
              <w:t>6.7</w:t>
            </w:r>
          </w:p>
        </w:tc>
      </w:tr>
      <w:tr w:rsidR="0066492D" w:rsidTr="00493E55">
        <w:tc>
          <w:tcPr>
            <w:tcW w:w="2693" w:type="dxa"/>
            <w:tcBorders>
              <w:top w:val="nil"/>
              <w:left w:val="nil"/>
              <w:bottom w:val="nil"/>
              <w:right w:val="nil"/>
            </w:tcBorders>
          </w:tcPr>
          <w:p w:rsidR="0066492D" w:rsidRDefault="0066492D"/>
        </w:tc>
        <w:tc>
          <w:tcPr>
            <w:tcW w:w="1701" w:type="dxa"/>
            <w:tcBorders>
              <w:top w:val="nil"/>
              <w:left w:val="nil"/>
              <w:bottom w:val="nil"/>
              <w:right w:val="nil"/>
            </w:tcBorders>
          </w:tcPr>
          <w:p w:rsidR="0066492D" w:rsidRDefault="0066492D">
            <w:pPr>
              <w:jc w:val="right"/>
            </w:pPr>
          </w:p>
        </w:tc>
        <w:tc>
          <w:tcPr>
            <w:tcW w:w="1417" w:type="dxa"/>
            <w:tcBorders>
              <w:top w:val="nil"/>
              <w:left w:val="nil"/>
              <w:bottom w:val="nil"/>
              <w:right w:val="nil"/>
            </w:tcBorders>
          </w:tcPr>
          <w:p w:rsidR="0066492D" w:rsidRPr="00493E55" w:rsidRDefault="0066492D">
            <w:pPr>
              <w:jc w:val="right"/>
            </w:pPr>
          </w:p>
        </w:tc>
        <w:tc>
          <w:tcPr>
            <w:tcW w:w="1560" w:type="dxa"/>
            <w:tcBorders>
              <w:top w:val="nil"/>
              <w:left w:val="nil"/>
              <w:bottom w:val="nil"/>
              <w:right w:val="nil"/>
            </w:tcBorders>
          </w:tcPr>
          <w:p w:rsidR="0066492D" w:rsidRPr="00493E55" w:rsidRDefault="0066492D">
            <w:pPr>
              <w:jc w:val="right"/>
            </w:pPr>
          </w:p>
        </w:tc>
        <w:tc>
          <w:tcPr>
            <w:tcW w:w="1275" w:type="dxa"/>
            <w:tcBorders>
              <w:top w:val="nil"/>
              <w:left w:val="nil"/>
              <w:bottom w:val="nil"/>
              <w:right w:val="nil"/>
            </w:tcBorders>
          </w:tcPr>
          <w:p w:rsidR="0066492D" w:rsidRPr="00493E55" w:rsidRDefault="0066492D">
            <w:pPr>
              <w:jc w:val="right"/>
            </w:pPr>
          </w:p>
        </w:tc>
        <w:tc>
          <w:tcPr>
            <w:tcW w:w="851" w:type="dxa"/>
            <w:tcBorders>
              <w:top w:val="nil"/>
              <w:left w:val="nil"/>
              <w:bottom w:val="nil"/>
              <w:right w:val="nil"/>
            </w:tcBorders>
          </w:tcPr>
          <w:p w:rsidR="0066492D" w:rsidRPr="00493E55" w:rsidRDefault="0066492D">
            <w:pPr>
              <w:jc w:val="right"/>
            </w:pPr>
          </w:p>
        </w:tc>
      </w:tr>
    </w:tbl>
    <w:p w:rsidR="00BA6AD1" w:rsidRPr="00FB5430" w:rsidRDefault="00BA6AD1">
      <w:pPr>
        <w:ind w:left="705" w:hanging="705"/>
      </w:pPr>
      <w:r>
        <w:t>6.3</w:t>
      </w:r>
      <w:r>
        <w:tab/>
      </w:r>
      <w:r w:rsidRPr="00FB5430">
        <w:t>The</w:t>
      </w:r>
      <w:r w:rsidR="00B43062" w:rsidRPr="00FB5430">
        <w:t xml:space="preserve"> annual budget for income from Land Charges was reduced by £241,000 for 20</w:t>
      </w:r>
      <w:r w:rsidR="00FB5430" w:rsidRPr="00FB5430">
        <w:t>1</w:t>
      </w:r>
      <w:r w:rsidR="00B43062" w:rsidRPr="00FB5430">
        <w:t>0/1</w:t>
      </w:r>
      <w:r w:rsidR="00FB5430" w:rsidRPr="00FB5430">
        <w:t>1</w:t>
      </w:r>
      <w:r w:rsidR="00B43062" w:rsidRPr="00FB5430">
        <w:t xml:space="preserve"> as a result of the impact of the current economic climate on the housing market</w:t>
      </w:r>
      <w:r w:rsidRPr="00FB5430">
        <w:t>.</w:t>
      </w:r>
      <w:r w:rsidR="00DD361A">
        <w:t xml:space="preserve">  The income for the first quarter is marginally exceeding the new target.</w:t>
      </w:r>
      <w:r w:rsidRPr="00FB5430">
        <w:t xml:space="preserve">  </w:t>
      </w:r>
    </w:p>
    <w:p w:rsidR="00BA6AD1" w:rsidRPr="00E7481B" w:rsidRDefault="00BA6AD1"/>
    <w:p w:rsidR="00BA6AD1" w:rsidRPr="00E7481B" w:rsidRDefault="00BA6AD1">
      <w:pPr>
        <w:ind w:left="705" w:hanging="705"/>
      </w:pPr>
      <w:r w:rsidRPr="00E7481B">
        <w:t>6.4</w:t>
      </w:r>
      <w:r w:rsidRPr="00E7481B">
        <w:tab/>
      </w:r>
      <w:r w:rsidR="00FB5430" w:rsidRPr="00E7481B">
        <w:t xml:space="preserve">Income from the Lanes was increased in 2009/10 by £170,000 to reflect the </w:t>
      </w:r>
      <w:r w:rsidR="00E7481B" w:rsidRPr="00E7481B">
        <w:t>change of basis to</w:t>
      </w:r>
      <w:r w:rsidR="00FB5430" w:rsidRPr="00E7481B">
        <w:t xml:space="preserve"> a share of the equity rental. </w:t>
      </w:r>
      <w:r w:rsidR="00E7481B" w:rsidRPr="00E7481B">
        <w:t>However,</w:t>
      </w:r>
      <w:r w:rsidR="00FB5430" w:rsidRPr="00E7481B">
        <w:t xml:space="preserve"> the income </w:t>
      </w:r>
      <w:r w:rsidR="00E7481B" w:rsidRPr="00E7481B">
        <w:t xml:space="preserve">fell short of the </w:t>
      </w:r>
      <w:r w:rsidR="00FB5430" w:rsidRPr="00E7481B">
        <w:t>target due to the number of vacant units</w:t>
      </w:r>
      <w:r w:rsidR="00E7481B" w:rsidRPr="00E7481B">
        <w:t xml:space="preserve"> and the budget for 2010/11 was reduced by £77,000 to meet the potential shortfall. Early indications show that the shortfall will significantly exceed this reduction and </w:t>
      </w:r>
      <w:r w:rsidR="00E7481B">
        <w:t>these figures will need to be</w:t>
      </w:r>
      <w:r w:rsidR="00E7481B" w:rsidRPr="00E7481B">
        <w:t xml:space="preserve"> r</w:t>
      </w:r>
      <w:r w:rsidR="00FB5430" w:rsidRPr="00E7481B">
        <w:t>evised</w:t>
      </w:r>
      <w:r w:rsidR="00E7481B">
        <w:t xml:space="preserve"> in line with</w:t>
      </w:r>
      <w:r w:rsidR="00FB5430" w:rsidRPr="00E7481B">
        <w:t xml:space="preserve"> projections</w:t>
      </w:r>
      <w:r w:rsidR="00E7481B" w:rsidRPr="00E7481B">
        <w:t xml:space="preserve"> from the managing agents</w:t>
      </w:r>
      <w:r w:rsidR="00AE3ADE">
        <w:t xml:space="preserve"> (refer to </w:t>
      </w:r>
      <w:proofErr w:type="spellStart"/>
      <w:r w:rsidR="00AE3ADE">
        <w:t>para</w:t>
      </w:r>
      <w:proofErr w:type="spellEnd"/>
      <w:r w:rsidR="00AE3ADE">
        <w:t>. 4.4 above)</w:t>
      </w:r>
      <w:r w:rsidR="00E7481B">
        <w:t>.</w:t>
      </w:r>
      <w:r w:rsidRPr="00E7481B">
        <w:t xml:space="preserve">  </w:t>
      </w:r>
    </w:p>
    <w:p w:rsidR="00BA6AD1" w:rsidRPr="00432B91" w:rsidRDefault="00BA6AD1">
      <w:pPr>
        <w:rPr>
          <w:highlight w:val="yellow"/>
        </w:rPr>
      </w:pPr>
    </w:p>
    <w:p w:rsidR="00BA6AD1" w:rsidRPr="00AE3ADE" w:rsidRDefault="00BA6AD1">
      <w:pPr>
        <w:ind w:left="705" w:hanging="705"/>
      </w:pPr>
      <w:r w:rsidRPr="00FB5430">
        <w:t>6.5</w:t>
      </w:r>
      <w:r w:rsidRPr="00FB5430">
        <w:tab/>
        <w:t>I</w:t>
      </w:r>
      <w:r w:rsidR="00B43062" w:rsidRPr="00FB5430">
        <w:t xml:space="preserve">ncome generated from car parking has been consistently lower than the level budgeted for a number of years and the annual budget for 2009/10 was reduced to represent a more realistic target.  </w:t>
      </w:r>
      <w:r w:rsidR="00FB5430" w:rsidRPr="00FB5430">
        <w:t>T</w:t>
      </w:r>
      <w:r w:rsidR="00B43062" w:rsidRPr="00FB5430">
        <w:t xml:space="preserve">he </w:t>
      </w:r>
      <w:r w:rsidR="00FB5430" w:rsidRPr="00FB5430">
        <w:t xml:space="preserve">forecast </w:t>
      </w:r>
      <w:r w:rsidR="00B43062" w:rsidRPr="00FB5430">
        <w:t>level</w:t>
      </w:r>
      <w:r w:rsidR="00FB5430" w:rsidRPr="00FB5430">
        <w:t>s</w:t>
      </w:r>
      <w:r w:rsidR="00B43062" w:rsidRPr="00FB5430">
        <w:t xml:space="preserve"> </w:t>
      </w:r>
      <w:r w:rsidR="00FB5430" w:rsidRPr="00FB5430">
        <w:t xml:space="preserve">for 2010/11 </w:t>
      </w:r>
      <w:r w:rsidR="00B43062" w:rsidRPr="00FB5430">
        <w:t>ha</w:t>
      </w:r>
      <w:r w:rsidR="00FB5430" w:rsidRPr="00FB5430">
        <w:t>ve</w:t>
      </w:r>
      <w:r w:rsidR="00B43062" w:rsidRPr="00FB5430">
        <w:t xml:space="preserve"> been further reduced</w:t>
      </w:r>
      <w:r w:rsidR="00FB5430" w:rsidRPr="00FB5430">
        <w:t>,</w:t>
      </w:r>
      <w:r w:rsidR="00B43062" w:rsidRPr="00FB5430">
        <w:t xml:space="preserve"> by £212,000</w:t>
      </w:r>
      <w:r w:rsidR="00FB5430" w:rsidRPr="00FB5430">
        <w:t>,</w:t>
      </w:r>
      <w:r w:rsidR="00B43062" w:rsidRPr="00FB5430">
        <w:t xml:space="preserve"> </w:t>
      </w:r>
      <w:r w:rsidR="00E7481B">
        <w:t>in</w:t>
      </w:r>
      <w:r w:rsidR="00FB5430" w:rsidRPr="00FB5430">
        <w:t xml:space="preserve"> anticipat</w:t>
      </w:r>
      <w:r w:rsidR="00E7481B">
        <w:t>ion</w:t>
      </w:r>
      <w:r w:rsidR="00B43062" w:rsidRPr="00FB5430">
        <w:t xml:space="preserve"> </w:t>
      </w:r>
      <w:r w:rsidR="00E7481B">
        <w:t xml:space="preserve">of the </w:t>
      </w:r>
      <w:r w:rsidR="00B43062" w:rsidRPr="00FB5430">
        <w:t xml:space="preserve">closure of the Viaduct car parks </w:t>
      </w:r>
      <w:r w:rsidR="00FB5430" w:rsidRPr="00FB5430">
        <w:t xml:space="preserve">and the non-achievement in line with the Green Travel Plan. </w:t>
      </w:r>
      <w:r w:rsidR="00B43062" w:rsidRPr="00FB5430">
        <w:t xml:space="preserve"> For the period April to June 2010 the income actually generated has shown significant improvement against the profiled target but this has been offset by reduced sales of contract parking spaces </w:t>
      </w:r>
      <w:r w:rsidR="00B43062" w:rsidRPr="00AE3ADE">
        <w:t xml:space="preserve">(refer to </w:t>
      </w:r>
      <w:r w:rsidR="00AE3ADE" w:rsidRPr="00AE3ADE">
        <w:t>Appendix</w:t>
      </w:r>
      <w:r w:rsidR="00B43062" w:rsidRPr="00AE3ADE">
        <w:t xml:space="preserve"> </w:t>
      </w:r>
      <w:r w:rsidR="00AE3ADE" w:rsidRPr="00AE3ADE">
        <w:t>A8</w:t>
      </w:r>
      <w:r w:rsidR="00B43062" w:rsidRPr="00AE3ADE">
        <w:t xml:space="preserve"> </w:t>
      </w:r>
      <w:r w:rsidR="00AE3ADE" w:rsidRPr="00AE3ADE">
        <w:t>attached</w:t>
      </w:r>
      <w:r w:rsidR="00B43062" w:rsidRPr="00AE3ADE">
        <w:t xml:space="preserve">). </w:t>
      </w:r>
    </w:p>
    <w:p w:rsidR="00BA6AD1" w:rsidRPr="00AE3ADE" w:rsidRDefault="00BA6AD1"/>
    <w:p w:rsidR="00BA6AD1" w:rsidRPr="009E326D" w:rsidRDefault="00BA6AD1">
      <w:pPr>
        <w:numPr>
          <w:ilvl w:val="1"/>
          <w:numId w:val="22"/>
        </w:numPr>
        <w:tabs>
          <w:tab w:val="left" w:pos="851"/>
        </w:tabs>
      </w:pPr>
      <w:r w:rsidRPr="00AE3ADE">
        <w:t>The</w:t>
      </w:r>
      <w:r w:rsidR="00B43062" w:rsidRPr="00AE3ADE">
        <w:t xml:space="preserve"> 2010/11 budget for income from Bereavement Services was reduced by £</w:t>
      </w:r>
      <w:r w:rsidR="00AE3ADE" w:rsidRPr="00AE3ADE">
        <w:t>60</w:t>
      </w:r>
      <w:r w:rsidR="00B43062" w:rsidRPr="00AE3ADE">
        <w:t xml:space="preserve">,000 in anticipation of a continuing downward trend.  </w:t>
      </w:r>
      <w:r w:rsidR="009E326D">
        <w:t>Although t</w:t>
      </w:r>
      <w:r w:rsidR="00B43062" w:rsidRPr="00AE3ADE">
        <w:t>he</w:t>
      </w:r>
      <w:r w:rsidR="00AE3ADE" w:rsidRPr="00AE3ADE">
        <w:t xml:space="preserve">re has been a slight </w:t>
      </w:r>
      <w:r w:rsidR="00AE3ADE" w:rsidRPr="009E326D">
        <w:t xml:space="preserve">improvement against the </w:t>
      </w:r>
      <w:r w:rsidR="00B43062" w:rsidRPr="009E326D">
        <w:t>income estimate</w:t>
      </w:r>
      <w:r w:rsidR="009E326D" w:rsidRPr="009E326D">
        <w:t xml:space="preserve"> for the first quarter of this year t</w:t>
      </w:r>
      <w:r w:rsidR="00B43062" w:rsidRPr="009E326D">
        <w:t>he position continues to be closely monitored</w:t>
      </w:r>
      <w:r w:rsidRPr="009E326D">
        <w:t xml:space="preserve">. </w:t>
      </w:r>
    </w:p>
    <w:p w:rsidR="00BA6AD1" w:rsidRPr="009E326D" w:rsidRDefault="00BA6AD1">
      <w:pPr>
        <w:tabs>
          <w:tab w:val="left" w:pos="851"/>
        </w:tabs>
      </w:pPr>
    </w:p>
    <w:p w:rsidR="00BA6AD1" w:rsidRPr="009E326D" w:rsidRDefault="00BA6AD1">
      <w:pPr>
        <w:numPr>
          <w:ilvl w:val="1"/>
          <w:numId w:val="22"/>
        </w:numPr>
        <w:tabs>
          <w:tab w:val="left" w:pos="851"/>
        </w:tabs>
        <w:rPr>
          <w:b/>
        </w:rPr>
      </w:pPr>
      <w:r w:rsidRPr="009E326D">
        <w:lastRenderedPageBreak/>
        <w:t>Income for</w:t>
      </w:r>
      <w:r w:rsidR="00B43062" w:rsidRPr="009E326D">
        <w:t xml:space="preserve"> Development Control charges </w:t>
      </w:r>
      <w:r w:rsidR="00AE3ADE" w:rsidRPr="009E326D">
        <w:t xml:space="preserve">has </w:t>
      </w:r>
      <w:r w:rsidR="009E326D" w:rsidRPr="009E326D">
        <w:t xml:space="preserve">continued to </w:t>
      </w:r>
      <w:r w:rsidR="00B43062" w:rsidRPr="009E326D">
        <w:t xml:space="preserve">decline in </w:t>
      </w:r>
      <w:r w:rsidR="00AE3ADE" w:rsidRPr="009E326D">
        <w:t>recent</w:t>
      </w:r>
      <w:r w:rsidR="00B43062" w:rsidRPr="009E326D">
        <w:t xml:space="preserve"> year</w:t>
      </w:r>
      <w:r w:rsidR="00AE3ADE" w:rsidRPr="009E326D">
        <w:t>s</w:t>
      </w:r>
      <w:r w:rsidR="00B43062" w:rsidRPr="009E326D">
        <w:t xml:space="preserve"> mainly as a result of fewer planning applications received due to the economic downturn</w:t>
      </w:r>
      <w:r w:rsidR="009E326D" w:rsidRPr="009E326D">
        <w:t xml:space="preserve"> and i</w:t>
      </w:r>
      <w:r w:rsidR="00B43062" w:rsidRPr="009E326D">
        <w:t>t was agreed to lower the annual budget expectation by £39,000 until 2010/11</w:t>
      </w:r>
      <w:r w:rsidR="00AE3ADE" w:rsidRPr="009E326D">
        <w:t>.</w:t>
      </w:r>
      <w:r w:rsidR="009E326D" w:rsidRPr="009E326D">
        <w:t xml:space="preserve"> </w:t>
      </w:r>
      <w:r w:rsidR="00AE3ADE" w:rsidRPr="009E326D">
        <w:t xml:space="preserve"> </w:t>
      </w:r>
      <w:r w:rsidR="009E326D" w:rsidRPr="009E326D">
        <w:t>F</w:t>
      </w:r>
      <w:r w:rsidR="00AE3ADE" w:rsidRPr="009E326D">
        <w:t xml:space="preserve">or the period April to June this position has declined </w:t>
      </w:r>
      <w:r w:rsidR="009E326D" w:rsidRPr="009E326D">
        <w:t xml:space="preserve">even </w:t>
      </w:r>
      <w:r w:rsidR="00AE3ADE" w:rsidRPr="009E326D">
        <w:t>further</w:t>
      </w:r>
      <w:r w:rsidR="009E326D" w:rsidRPr="009E326D">
        <w:t xml:space="preserve"> and forecasts will need to be revised to reflect the potential shortfall in income</w:t>
      </w:r>
      <w:r w:rsidR="00B43062" w:rsidRPr="009E326D">
        <w:t>.</w:t>
      </w:r>
      <w:r w:rsidR="00AE3ADE" w:rsidRPr="009E326D">
        <w:t xml:space="preserve"> </w:t>
      </w:r>
    </w:p>
    <w:p w:rsidR="00A4470B" w:rsidRDefault="00A4470B" w:rsidP="00A4470B">
      <w:pPr>
        <w:pStyle w:val="ListParagraph"/>
        <w:rPr>
          <w:b/>
        </w:rPr>
      </w:pPr>
    </w:p>
    <w:p w:rsidR="00A4470B" w:rsidRPr="00C74724" w:rsidRDefault="00A4470B" w:rsidP="00CE0913">
      <w:pPr>
        <w:tabs>
          <w:tab w:val="left" w:pos="709"/>
        </w:tabs>
        <w:rPr>
          <w:b/>
        </w:rPr>
      </w:pPr>
      <w:r>
        <w:rPr>
          <w:b/>
        </w:rPr>
        <w:t>7.</w:t>
      </w:r>
      <w:r>
        <w:rPr>
          <w:b/>
        </w:rPr>
        <w:tab/>
      </w:r>
      <w:r w:rsidR="00170945" w:rsidRPr="00C74724">
        <w:rPr>
          <w:b/>
        </w:rPr>
        <w:t xml:space="preserve">S.106 </w:t>
      </w:r>
      <w:r w:rsidRPr="00C74724">
        <w:rPr>
          <w:b/>
        </w:rPr>
        <w:t>COMMUTED SUMS</w:t>
      </w:r>
    </w:p>
    <w:p w:rsidR="00A4470B" w:rsidRDefault="00A4470B" w:rsidP="00170945">
      <w:pPr>
        <w:ind w:left="720" w:hanging="720"/>
      </w:pPr>
      <w:r w:rsidRPr="00C74724">
        <w:t>7.1</w:t>
      </w:r>
      <w:r w:rsidRPr="00C74724">
        <w:tab/>
      </w:r>
      <w:r w:rsidR="00170945" w:rsidRPr="00FB10DD">
        <w:t xml:space="preserve">The City Council </w:t>
      </w:r>
      <w:r w:rsidR="00FB10DD" w:rsidRPr="00FB10DD">
        <w:t>currently holds a balance of £218</w:t>
      </w:r>
      <w:r w:rsidR="00170945" w:rsidRPr="00FB10DD">
        <w:t>,</w:t>
      </w:r>
      <w:r w:rsidR="00FB10DD" w:rsidRPr="00FB10DD">
        <w:t>289</w:t>
      </w:r>
      <w:r w:rsidR="00170945" w:rsidRPr="00FB10DD">
        <w:t xml:space="preserve"> of commuted sums </w:t>
      </w:r>
      <w:r w:rsidR="006D3FAA" w:rsidRPr="00FB10DD">
        <w:t>to</w:t>
      </w:r>
      <w:r w:rsidR="00317D47">
        <w:t xml:space="preserve"> be used for the provision and future </w:t>
      </w:r>
      <w:r w:rsidR="00170945" w:rsidRPr="00FB10DD">
        <w:t>maintenance of public open spaces</w:t>
      </w:r>
      <w:r w:rsidR="00A440B7" w:rsidRPr="00FB10DD">
        <w:t>,</w:t>
      </w:r>
      <w:r w:rsidR="006D3FAA" w:rsidRPr="00FB10DD">
        <w:t xml:space="preserve"> £</w:t>
      </w:r>
      <w:r w:rsidR="00FB10DD" w:rsidRPr="00FB10DD">
        <w:t>52</w:t>
      </w:r>
      <w:r w:rsidR="006D3FAA" w:rsidRPr="00FB10DD">
        <w:t>,</w:t>
      </w:r>
      <w:r w:rsidR="00FB10DD" w:rsidRPr="00FB10DD">
        <w:t>737</w:t>
      </w:r>
      <w:r w:rsidR="006D3FAA" w:rsidRPr="00FB10DD">
        <w:t xml:space="preserve"> of </w:t>
      </w:r>
      <w:r w:rsidR="007470BB" w:rsidRPr="00FB10DD">
        <w:t>which</w:t>
      </w:r>
      <w:r w:rsidR="00170945" w:rsidRPr="00FB10DD">
        <w:t xml:space="preserve"> </w:t>
      </w:r>
      <w:r w:rsidR="00535C9F" w:rsidRPr="00FB10DD">
        <w:t xml:space="preserve">is in respect of developments that </w:t>
      </w:r>
      <w:r w:rsidR="006D3FAA" w:rsidRPr="00FB10DD">
        <w:t>are</w:t>
      </w:r>
      <w:r w:rsidR="00535C9F" w:rsidRPr="00FB10DD">
        <w:t xml:space="preserve"> </w:t>
      </w:r>
      <w:r w:rsidR="00A32076" w:rsidRPr="00FB10DD">
        <w:t>still</w:t>
      </w:r>
      <w:r w:rsidR="00535C9F" w:rsidRPr="00FB10DD">
        <w:t xml:space="preserve"> </w:t>
      </w:r>
      <w:r w:rsidR="00A32076" w:rsidRPr="00FB10DD">
        <w:t>in</w:t>
      </w:r>
      <w:r w:rsidR="00535C9F" w:rsidRPr="00FB10DD">
        <w:t>complet</w:t>
      </w:r>
      <w:r w:rsidR="006D3FAA" w:rsidRPr="00FB10DD">
        <w:t>e</w:t>
      </w:r>
      <w:r w:rsidR="00A440B7" w:rsidRPr="00FB10DD">
        <w:t>.</w:t>
      </w:r>
      <w:r w:rsidR="006D3FAA" w:rsidRPr="00FB10DD">
        <w:t xml:space="preserve">  </w:t>
      </w:r>
      <w:r w:rsidR="00A440B7" w:rsidRPr="00FB10DD">
        <w:t>A</w:t>
      </w:r>
      <w:r w:rsidR="006D3FAA" w:rsidRPr="00FB10DD">
        <w:t xml:space="preserve"> further</w:t>
      </w:r>
      <w:r w:rsidR="00535C9F" w:rsidRPr="00FB10DD">
        <w:t xml:space="preserve"> £</w:t>
      </w:r>
      <w:r w:rsidR="00FB10DD" w:rsidRPr="00FB10DD">
        <w:t>539</w:t>
      </w:r>
      <w:r w:rsidR="00535C9F" w:rsidRPr="00FB10DD">
        <w:t>,</w:t>
      </w:r>
      <w:r w:rsidR="00FB10DD" w:rsidRPr="00FB10DD">
        <w:t>764</w:t>
      </w:r>
      <w:r w:rsidR="00814427" w:rsidRPr="00FB10DD">
        <w:t>,</w:t>
      </w:r>
      <w:r w:rsidR="00535C9F" w:rsidRPr="00FB10DD">
        <w:t xml:space="preserve"> </w:t>
      </w:r>
      <w:r w:rsidR="00A32076" w:rsidRPr="00FB10DD">
        <w:t>relating t</w:t>
      </w:r>
      <w:r w:rsidR="006D3FAA" w:rsidRPr="00FB10DD">
        <w:t xml:space="preserve">o agreements </w:t>
      </w:r>
      <w:r w:rsidR="00A32076" w:rsidRPr="00FB10DD">
        <w:t xml:space="preserve">for sites that </w:t>
      </w:r>
      <w:r w:rsidR="00535C9F" w:rsidRPr="00FB10DD">
        <w:t xml:space="preserve">have yet to </w:t>
      </w:r>
      <w:r w:rsidR="00A32076" w:rsidRPr="00FB10DD">
        <w:t>be</w:t>
      </w:r>
      <w:r w:rsidR="006D3FAA" w:rsidRPr="00FB10DD">
        <w:t xml:space="preserve"> </w:t>
      </w:r>
      <w:r w:rsidR="009141E9" w:rsidRPr="00FB10DD">
        <w:t>developed</w:t>
      </w:r>
      <w:r w:rsidR="00814427" w:rsidRPr="00FB10DD">
        <w:t>,</w:t>
      </w:r>
      <w:r w:rsidR="00A32076" w:rsidRPr="00FB10DD">
        <w:t xml:space="preserve"> is expected</w:t>
      </w:r>
      <w:r w:rsidR="00535C9F" w:rsidRPr="00FB10DD">
        <w:t>.</w:t>
      </w:r>
      <w:r w:rsidR="006D3FAA" w:rsidRPr="00CE0913">
        <w:t xml:space="preserve"> </w:t>
      </w:r>
    </w:p>
    <w:p w:rsidR="0025377F" w:rsidRPr="00170945" w:rsidRDefault="0025377F" w:rsidP="00170945">
      <w:pPr>
        <w:ind w:left="720" w:hanging="720"/>
      </w:pPr>
    </w:p>
    <w:p w:rsidR="00BA6AD1" w:rsidRDefault="00A4470B" w:rsidP="00B55570">
      <w:pPr>
        <w:tabs>
          <w:tab w:val="left" w:pos="851"/>
        </w:tabs>
        <w:rPr>
          <w:b/>
        </w:rPr>
      </w:pPr>
      <w:r>
        <w:rPr>
          <w:b/>
        </w:rPr>
        <w:t>8</w:t>
      </w:r>
      <w:r w:rsidR="00BA6AD1">
        <w:rPr>
          <w:b/>
        </w:rPr>
        <w:t>.</w:t>
      </w:r>
      <w:r w:rsidR="00B55570">
        <w:rPr>
          <w:b/>
        </w:rPr>
        <w:t xml:space="preserve">        </w:t>
      </w:r>
      <w:r w:rsidR="00DD361A">
        <w:rPr>
          <w:b/>
        </w:rPr>
        <w:t>DIRECTION OF TRAVEL</w:t>
      </w:r>
    </w:p>
    <w:p w:rsidR="00BA6AD1" w:rsidRDefault="00A4470B">
      <w:pPr>
        <w:rPr>
          <w:b/>
        </w:rPr>
      </w:pPr>
      <w:r>
        <w:rPr>
          <w:b/>
        </w:rPr>
        <w:t>8</w:t>
      </w:r>
      <w:r w:rsidR="00BA6AD1">
        <w:rPr>
          <w:b/>
        </w:rPr>
        <w:t>.1</w:t>
      </w:r>
      <w:r w:rsidR="00BA6AD1">
        <w:rPr>
          <w:b/>
        </w:rPr>
        <w:tab/>
        <w:t>Balance Sheet Management</w:t>
      </w:r>
      <w:r w:rsidR="00BA6AD1">
        <w:rPr>
          <w:b/>
        </w:rPr>
        <w:tab/>
      </w:r>
    </w:p>
    <w:p w:rsidR="00BA6AD1" w:rsidRDefault="00BA6AD1">
      <w:pPr>
        <w:ind w:left="705"/>
      </w:pPr>
      <w:r>
        <w:t>In line with CIPFA guidance and good practice, information relating to significant items on the Council’s balance sheet is shown below. The information concentrates on those items that may have a material impact on the Council if not reviewed on a regular basis.</w:t>
      </w:r>
      <w: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417"/>
        <w:gridCol w:w="1417"/>
        <w:gridCol w:w="851"/>
      </w:tblGrid>
      <w:tr w:rsidR="00BA6AD1" w:rsidTr="001B4D6E">
        <w:tc>
          <w:tcPr>
            <w:tcW w:w="4678" w:type="dxa"/>
            <w:shd w:val="clear" w:color="auto" w:fill="31849B" w:themeFill="accent5" w:themeFillShade="BF"/>
          </w:tcPr>
          <w:p w:rsidR="00BA6AD1" w:rsidRPr="00814427" w:rsidRDefault="00BA6AD1">
            <w:pPr>
              <w:tabs>
                <w:tab w:val="left" w:pos="709"/>
              </w:tabs>
              <w:rPr>
                <w:color w:val="FFFFFF" w:themeColor="background1"/>
                <w:sz w:val="22"/>
                <w:szCs w:val="22"/>
              </w:rPr>
            </w:pPr>
            <w:r w:rsidRPr="00814427">
              <w:rPr>
                <w:color w:val="FFFFFF" w:themeColor="background1"/>
                <w:sz w:val="22"/>
                <w:szCs w:val="22"/>
              </w:rPr>
              <w:t>Balance Sheet item</w:t>
            </w:r>
          </w:p>
        </w:tc>
        <w:tc>
          <w:tcPr>
            <w:tcW w:w="1417" w:type="dxa"/>
            <w:shd w:val="clear" w:color="auto" w:fill="31849B" w:themeFill="accent5" w:themeFillShade="BF"/>
          </w:tcPr>
          <w:p w:rsidR="00BA6AD1" w:rsidRPr="00814427" w:rsidRDefault="00BA6AD1">
            <w:pPr>
              <w:tabs>
                <w:tab w:val="left" w:pos="709"/>
              </w:tabs>
              <w:rPr>
                <w:color w:val="FFFFFF" w:themeColor="background1"/>
                <w:sz w:val="22"/>
                <w:szCs w:val="22"/>
              </w:rPr>
            </w:pPr>
            <w:r w:rsidRPr="00814427">
              <w:rPr>
                <w:color w:val="FFFFFF" w:themeColor="background1"/>
                <w:sz w:val="22"/>
                <w:szCs w:val="22"/>
              </w:rPr>
              <w:t>Balance at</w:t>
            </w:r>
          </w:p>
          <w:p w:rsidR="00BA6AD1" w:rsidRPr="00814427" w:rsidRDefault="00BA6AD1" w:rsidP="00EE3829">
            <w:pPr>
              <w:tabs>
                <w:tab w:val="left" w:pos="709"/>
              </w:tabs>
              <w:rPr>
                <w:color w:val="FFFFFF" w:themeColor="background1"/>
                <w:sz w:val="22"/>
                <w:szCs w:val="22"/>
              </w:rPr>
            </w:pPr>
            <w:r w:rsidRPr="00814427">
              <w:rPr>
                <w:color w:val="FFFFFF" w:themeColor="background1"/>
                <w:sz w:val="22"/>
                <w:szCs w:val="22"/>
              </w:rPr>
              <w:t>31/3/</w:t>
            </w:r>
            <w:r w:rsidR="00EE3829">
              <w:rPr>
                <w:color w:val="FFFFFF" w:themeColor="background1"/>
                <w:sz w:val="22"/>
                <w:szCs w:val="22"/>
              </w:rPr>
              <w:t>1</w:t>
            </w:r>
            <w:r w:rsidRPr="00814427">
              <w:rPr>
                <w:color w:val="FFFFFF" w:themeColor="background1"/>
                <w:sz w:val="22"/>
                <w:szCs w:val="22"/>
              </w:rPr>
              <w:t>0</w:t>
            </w:r>
          </w:p>
        </w:tc>
        <w:tc>
          <w:tcPr>
            <w:tcW w:w="1417" w:type="dxa"/>
            <w:shd w:val="clear" w:color="auto" w:fill="31849B" w:themeFill="accent5" w:themeFillShade="BF"/>
          </w:tcPr>
          <w:p w:rsidR="00BA6AD1" w:rsidRPr="00814427" w:rsidRDefault="00BA6AD1">
            <w:pPr>
              <w:tabs>
                <w:tab w:val="left" w:pos="709"/>
              </w:tabs>
              <w:rPr>
                <w:color w:val="FFFFFF" w:themeColor="background1"/>
                <w:sz w:val="22"/>
                <w:szCs w:val="22"/>
              </w:rPr>
            </w:pPr>
            <w:r w:rsidRPr="00814427">
              <w:rPr>
                <w:color w:val="FFFFFF" w:themeColor="background1"/>
                <w:sz w:val="22"/>
                <w:szCs w:val="22"/>
              </w:rPr>
              <w:t xml:space="preserve">Balance at </w:t>
            </w:r>
          </w:p>
          <w:p w:rsidR="00BA6AD1" w:rsidRPr="00814427" w:rsidRDefault="00BA6AD1" w:rsidP="00EE3829">
            <w:pPr>
              <w:tabs>
                <w:tab w:val="left" w:pos="709"/>
              </w:tabs>
              <w:rPr>
                <w:color w:val="FFFFFF" w:themeColor="background1"/>
                <w:sz w:val="22"/>
                <w:szCs w:val="22"/>
              </w:rPr>
            </w:pPr>
            <w:r w:rsidRPr="00814427">
              <w:rPr>
                <w:color w:val="FFFFFF" w:themeColor="background1"/>
                <w:sz w:val="22"/>
                <w:szCs w:val="22"/>
              </w:rPr>
              <w:t>3</w:t>
            </w:r>
            <w:r w:rsidR="00EE3829">
              <w:rPr>
                <w:color w:val="FFFFFF" w:themeColor="background1"/>
                <w:sz w:val="22"/>
                <w:szCs w:val="22"/>
              </w:rPr>
              <w:t>0</w:t>
            </w:r>
            <w:r w:rsidRPr="00814427">
              <w:rPr>
                <w:color w:val="FFFFFF" w:themeColor="background1"/>
                <w:sz w:val="22"/>
                <w:szCs w:val="22"/>
              </w:rPr>
              <w:t>/</w:t>
            </w:r>
            <w:r w:rsidR="00EE3829">
              <w:rPr>
                <w:color w:val="FFFFFF" w:themeColor="background1"/>
                <w:sz w:val="22"/>
                <w:szCs w:val="22"/>
              </w:rPr>
              <w:t>06</w:t>
            </w:r>
            <w:r w:rsidRPr="00814427">
              <w:rPr>
                <w:color w:val="FFFFFF" w:themeColor="background1"/>
                <w:sz w:val="22"/>
                <w:szCs w:val="22"/>
              </w:rPr>
              <w:t>/</w:t>
            </w:r>
            <w:r w:rsidR="00EE3829">
              <w:rPr>
                <w:color w:val="FFFFFF" w:themeColor="background1"/>
                <w:sz w:val="22"/>
                <w:szCs w:val="22"/>
              </w:rPr>
              <w:t>1</w:t>
            </w:r>
            <w:r w:rsidRPr="00814427">
              <w:rPr>
                <w:color w:val="FFFFFF" w:themeColor="background1"/>
                <w:sz w:val="22"/>
                <w:szCs w:val="22"/>
              </w:rPr>
              <w:t>0</w:t>
            </w:r>
          </w:p>
        </w:tc>
        <w:tc>
          <w:tcPr>
            <w:tcW w:w="851" w:type="dxa"/>
            <w:shd w:val="clear" w:color="auto" w:fill="31849B" w:themeFill="accent5" w:themeFillShade="BF"/>
          </w:tcPr>
          <w:p w:rsidR="00BA6AD1" w:rsidRPr="00814427" w:rsidRDefault="00BA6AD1">
            <w:pPr>
              <w:tabs>
                <w:tab w:val="left" w:pos="709"/>
              </w:tabs>
              <w:rPr>
                <w:color w:val="FFFFFF" w:themeColor="background1"/>
                <w:sz w:val="22"/>
                <w:szCs w:val="22"/>
              </w:rPr>
            </w:pPr>
            <w:r w:rsidRPr="00814427">
              <w:rPr>
                <w:color w:val="FFFFFF" w:themeColor="background1"/>
                <w:sz w:val="22"/>
                <w:szCs w:val="22"/>
              </w:rPr>
              <w:t>Note</w:t>
            </w:r>
          </w:p>
        </w:tc>
      </w:tr>
      <w:tr w:rsidR="00BA6AD1">
        <w:tc>
          <w:tcPr>
            <w:tcW w:w="4678" w:type="dxa"/>
          </w:tcPr>
          <w:p w:rsidR="00BA6AD1" w:rsidRPr="00814427" w:rsidRDefault="00BA6AD1">
            <w:pPr>
              <w:tabs>
                <w:tab w:val="left" w:pos="709"/>
              </w:tabs>
              <w:rPr>
                <w:sz w:val="22"/>
                <w:szCs w:val="22"/>
              </w:rPr>
            </w:pPr>
            <w:r w:rsidRPr="00814427">
              <w:rPr>
                <w:sz w:val="22"/>
                <w:szCs w:val="22"/>
              </w:rPr>
              <w:t>Investments</w:t>
            </w:r>
          </w:p>
        </w:tc>
        <w:tc>
          <w:tcPr>
            <w:tcW w:w="1417" w:type="dxa"/>
          </w:tcPr>
          <w:p w:rsidR="00BA6AD1" w:rsidRPr="00EE3829" w:rsidRDefault="00BA6AD1" w:rsidP="00CC5349">
            <w:pPr>
              <w:tabs>
                <w:tab w:val="left" w:pos="709"/>
              </w:tabs>
              <w:rPr>
                <w:sz w:val="22"/>
                <w:szCs w:val="22"/>
                <w:highlight w:val="yellow"/>
              </w:rPr>
            </w:pPr>
            <w:r w:rsidRPr="00CC5349">
              <w:rPr>
                <w:sz w:val="22"/>
                <w:szCs w:val="22"/>
              </w:rPr>
              <w:t>£2</w:t>
            </w:r>
            <w:r w:rsidR="00CC5349" w:rsidRPr="00CC5349">
              <w:rPr>
                <w:sz w:val="22"/>
                <w:szCs w:val="22"/>
              </w:rPr>
              <w:t>2</w:t>
            </w:r>
            <w:r w:rsidRPr="00CC5349">
              <w:rPr>
                <w:sz w:val="22"/>
                <w:szCs w:val="22"/>
              </w:rPr>
              <w:t>.</w:t>
            </w:r>
            <w:r w:rsidR="00CC5349" w:rsidRPr="00CC5349">
              <w:rPr>
                <w:sz w:val="22"/>
                <w:szCs w:val="22"/>
              </w:rPr>
              <w:t>0</w:t>
            </w:r>
            <w:r w:rsidRPr="00CC5349">
              <w:rPr>
                <w:sz w:val="22"/>
                <w:szCs w:val="22"/>
              </w:rPr>
              <w:t>m</w:t>
            </w:r>
          </w:p>
        </w:tc>
        <w:tc>
          <w:tcPr>
            <w:tcW w:w="1417" w:type="dxa"/>
          </w:tcPr>
          <w:p w:rsidR="00BA6AD1" w:rsidRPr="00CC5349" w:rsidRDefault="00BA6AD1" w:rsidP="00CC5349">
            <w:pPr>
              <w:tabs>
                <w:tab w:val="left" w:pos="709"/>
              </w:tabs>
              <w:rPr>
                <w:sz w:val="22"/>
                <w:szCs w:val="22"/>
              </w:rPr>
            </w:pPr>
            <w:r w:rsidRPr="00CC5349">
              <w:rPr>
                <w:sz w:val="22"/>
                <w:szCs w:val="22"/>
              </w:rPr>
              <w:t>£</w:t>
            </w:r>
            <w:r w:rsidR="00CC5349" w:rsidRPr="00CC5349">
              <w:rPr>
                <w:sz w:val="22"/>
                <w:szCs w:val="22"/>
              </w:rPr>
              <w:t>27</w:t>
            </w:r>
            <w:r w:rsidRPr="00CC5349">
              <w:rPr>
                <w:sz w:val="22"/>
                <w:szCs w:val="22"/>
              </w:rPr>
              <w:t>.</w:t>
            </w:r>
            <w:r w:rsidR="00CC5349" w:rsidRPr="00CC5349">
              <w:rPr>
                <w:sz w:val="22"/>
                <w:szCs w:val="22"/>
              </w:rPr>
              <w:t>2</w:t>
            </w:r>
            <w:r w:rsidRPr="00CC5349">
              <w:rPr>
                <w:sz w:val="22"/>
                <w:szCs w:val="22"/>
              </w:rPr>
              <w:t>m</w:t>
            </w:r>
          </w:p>
        </w:tc>
        <w:tc>
          <w:tcPr>
            <w:tcW w:w="851" w:type="dxa"/>
          </w:tcPr>
          <w:p w:rsidR="00BA6AD1" w:rsidRPr="00814427" w:rsidRDefault="00BA6AD1">
            <w:pPr>
              <w:tabs>
                <w:tab w:val="left" w:pos="709"/>
              </w:tabs>
              <w:rPr>
                <w:sz w:val="22"/>
                <w:szCs w:val="22"/>
              </w:rPr>
            </w:pPr>
            <w:r w:rsidRPr="00814427">
              <w:rPr>
                <w:sz w:val="22"/>
                <w:szCs w:val="22"/>
              </w:rPr>
              <w:t xml:space="preserve"> (</w:t>
            </w:r>
            <w:proofErr w:type="spellStart"/>
            <w:r w:rsidRPr="00814427">
              <w:rPr>
                <w:sz w:val="22"/>
                <w:szCs w:val="22"/>
              </w:rPr>
              <w:t>i</w:t>
            </w:r>
            <w:proofErr w:type="spellEnd"/>
            <w:r w:rsidRPr="00814427">
              <w:rPr>
                <w:sz w:val="22"/>
                <w:szCs w:val="22"/>
              </w:rPr>
              <w:t>)</w:t>
            </w:r>
          </w:p>
        </w:tc>
      </w:tr>
      <w:tr w:rsidR="00BA6AD1">
        <w:tc>
          <w:tcPr>
            <w:tcW w:w="4678" w:type="dxa"/>
          </w:tcPr>
          <w:p w:rsidR="00BA6AD1" w:rsidRPr="00814427" w:rsidRDefault="00BA6AD1">
            <w:pPr>
              <w:tabs>
                <w:tab w:val="left" w:pos="709"/>
              </w:tabs>
              <w:rPr>
                <w:sz w:val="22"/>
                <w:szCs w:val="22"/>
              </w:rPr>
            </w:pPr>
            <w:r w:rsidRPr="00814427">
              <w:rPr>
                <w:sz w:val="22"/>
                <w:szCs w:val="22"/>
              </w:rPr>
              <w:t>Loans</w:t>
            </w:r>
          </w:p>
        </w:tc>
        <w:tc>
          <w:tcPr>
            <w:tcW w:w="1417" w:type="dxa"/>
          </w:tcPr>
          <w:p w:rsidR="00BA6AD1" w:rsidRPr="00EE3829" w:rsidRDefault="00BA6AD1" w:rsidP="004308C8">
            <w:pPr>
              <w:tabs>
                <w:tab w:val="left" w:pos="709"/>
              </w:tabs>
              <w:rPr>
                <w:sz w:val="22"/>
                <w:szCs w:val="22"/>
                <w:highlight w:val="yellow"/>
              </w:rPr>
            </w:pPr>
            <w:r w:rsidRPr="004308C8">
              <w:rPr>
                <w:sz w:val="22"/>
                <w:szCs w:val="22"/>
              </w:rPr>
              <w:t>£15.</w:t>
            </w:r>
            <w:r w:rsidR="004308C8" w:rsidRPr="004308C8">
              <w:rPr>
                <w:sz w:val="22"/>
                <w:szCs w:val="22"/>
              </w:rPr>
              <w:t>0</w:t>
            </w:r>
            <w:r w:rsidRPr="004308C8">
              <w:rPr>
                <w:sz w:val="22"/>
                <w:szCs w:val="22"/>
              </w:rPr>
              <w:t>m</w:t>
            </w:r>
          </w:p>
        </w:tc>
        <w:tc>
          <w:tcPr>
            <w:tcW w:w="1417" w:type="dxa"/>
          </w:tcPr>
          <w:p w:rsidR="00BA6AD1" w:rsidRPr="00CC5349" w:rsidRDefault="00BA6AD1" w:rsidP="00CC5349">
            <w:pPr>
              <w:tabs>
                <w:tab w:val="left" w:pos="709"/>
              </w:tabs>
              <w:rPr>
                <w:sz w:val="22"/>
                <w:szCs w:val="22"/>
              </w:rPr>
            </w:pPr>
            <w:r w:rsidRPr="00CC5349">
              <w:rPr>
                <w:sz w:val="22"/>
                <w:szCs w:val="22"/>
              </w:rPr>
              <w:t>£15.</w:t>
            </w:r>
            <w:r w:rsidR="00CC5349" w:rsidRPr="00CC5349">
              <w:rPr>
                <w:sz w:val="22"/>
                <w:szCs w:val="22"/>
              </w:rPr>
              <w:t>0</w:t>
            </w:r>
            <w:r w:rsidRPr="00CC5349">
              <w:rPr>
                <w:sz w:val="22"/>
                <w:szCs w:val="22"/>
              </w:rPr>
              <w:t>m</w:t>
            </w:r>
          </w:p>
        </w:tc>
        <w:tc>
          <w:tcPr>
            <w:tcW w:w="851" w:type="dxa"/>
          </w:tcPr>
          <w:p w:rsidR="00BA6AD1" w:rsidRPr="00814427" w:rsidRDefault="00BA6AD1">
            <w:pPr>
              <w:tabs>
                <w:tab w:val="left" w:pos="709"/>
              </w:tabs>
              <w:rPr>
                <w:sz w:val="22"/>
                <w:szCs w:val="22"/>
              </w:rPr>
            </w:pPr>
            <w:r w:rsidRPr="00814427">
              <w:rPr>
                <w:sz w:val="22"/>
                <w:szCs w:val="22"/>
              </w:rPr>
              <w:t>(ii)</w:t>
            </w:r>
          </w:p>
        </w:tc>
      </w:tr>
      <w:tr w:rsidR="00BA6AD1">
        <w:tc>
          <w:tcPr>
            <w:tcW w:w="4678" w:type="dxa"/>
          </w:tcPr>
          <w:p w:rsidR="00BA6AD1" w:rsidRPr="00814427" w:rsidRDefault="00BA6AD1">
            <w:pPr>
              <w:tabs>
                <w:tab w:val="left" w:pos="709"/>
              </w:tabs>
              <w:rPr>
                <w:sz w:val="22"/>
                <w:szCs w:val="22"/>
              </w:rPr>
            </w:pPr>
            <w:r w:rsidRPr="00814427">
              <w:rPr>
                <w:sz w:val="22"/>
                <w:szCs w:val="22"/>
              </w:rPr>
              <w:t>Debtors</w:t>
            </w:r>
          </w:p>
        </w:tc>
        <w:tc>
          <w:tcPr>
            <w:tcW w:w="1417" w:type="dxa"/>
          </w:tcPr>
          <w:p w:rsidR="00BA6AD1" w:rsidRPr="00CC5349" w:rsidRDefault="00BA6AD1" w:rsidP="00CC5349">
            <w:pPr>
              <w:tabs>
                <w:tab w:val="left" w:pos="709"/>
              </w:tabs>
              <w:rPr>
                <w:sz w:val="22"/>
                <w:szCs w:val="22"/>
              </w:rPr>
            </w:pPr>
            <w:r w:rsidRPr="00CC5349">
              <w:rPr>
                <w:sz w:val="22"/>
                <w:szCs w:val="22"/>
              </w:rPr>
              <w:t xml:space="preserve">£ </w:t>
            </w:r>
            <w:r w:rsidR="00CC5349" w:rsidRPr="00CC5349">
              <w:rPr>
                <w:sz w:val="22"/>
                <w:szCs w:val="22"/>
              </w:rPr>
              <w:t>1</w:t>
            </w:r>
            <w:r w:rsidRPr="00CC5349">
              <w:rPr>
                <w:sz w:val="22"/>
                <w:szCs w:val="22"/>
              </w:rPr>
              <w:t>.</w:t>
            </w:r>
            <w:r w:rsidR="00CC5349" w:rsidRPr="00CC5349">
              <w:rPr>
                <w:sz w:val="22"/>
                <w:szCs w:val="22"/>
              </w:rPr>
              <w:t>2</w:t>
            </w:r>
            <w:r w:rsidRPr="00CC5349">
              <w:rPr>
                <w:sz w:val="22"/>
                <w:szCs w:val="22"/>
              </w:rPr>
              <w:t>m</w:t>
            </w:r>
          </w:p>
        </w:tc>
        <w:tc>
          <w:tcPr>
            <w:tcW w:w="1417" w:type="dxa"/>
          </w:tcPr>
          <w:p w:rsidR="00BA6AD1" w:rsidRPr="00CC5349" w:rsidRDefault="00BA6AD1" w:rsidP="00CC5349">
            <w:pPr>
              <w:tabs>
                <w:tab w:val="left" w:pos="709"/>
              </w:tabs>
              <w:rPr>
                <w:sz w:val="22"/>
                <w:szCs w:val="22"/>
              </w:rPr>
            </w:pPr>
            <w:r w:rsidRPr="00CC5349">
              <w:rPr>
                <w:sz w:val="22"/>
                <w:szCs w:val="22"/>
              </w:rPr>
              <w:t xml:space="preserve">£  </w:t>
            </w:r>
            <w:r w:rsidR="00CC5349" w:rsidRPr="00CC5349">
              <w:rPr>
                <w:sz w:val="22"/>
                <w:szCs w:val="22"/>
              </w:rPr>
              <w:t>1</w:t>
            </w:r>
            <w:r w:rsidRPr="00CC5349">
              <w:rPr>
                <w:sz w:val="22"/>
                <w:szCs w:val="22"/>
              </w:rPr>
              <w:t>.</w:t>
            </w:r>
            <w:r w:rsidR="00CC5349" w:rsidRPr="00CC5349">
              <w:rPr>
                <w:sz w:val="22"/>
                <w:szCs w:val="22"/>
              </w:rPr>
              <w:t>6</w:t>
            </w:r>
            <w:r w:rsidRPr="00CC5349">
              <w:rPr>
                <w:sz w:val="22"/>
                <w:szCs w:val="22"/>
              </w:rPr>
              <w:t>m</w:t>
            </w:r>
          </w:p>
        </w:tc>
        <w:tc>
          <w:tcPr>
            <w:tcW w:w="851" w:type="dxa"/>
          </w:tcPr>
          <w:p w:rsidR="00BA6AD1" w:rsidRPr="00814427" w:rsidRDefault="00BA6AD1">
            <w:pPr>
              <w:tabs>
                <w:tab w:val="left" w:pos="709"/>
              </w:tabs>
              <w:rPr>
                <w:sz w:val="22"/>
                <w:szCs w:val="22"/>
              </w:rPr>
            </w:pPr>
            <w:r w:rsidRPr="00814427">
              <w:rPr>
                <w:sz w:val="22"/>
                <w:szCs w:val="22"/>
              </w:rPr>
              <w:t>(iii)</w:t>
            </w:r>
          </w:p>
        </w:tc>
      </w:tr>
      <w:tr w:rsidR="00BA6AD1">
        <w:tc>
          <w:tcPr>
            <w:tcW w:w="4678" w:type="dxa"/>
          </w:tcPr>
          <w:p w:rsidR="00BA6AD1" w:rsidRPr="00814427" w:rsidRDefault="00BA6AD1">
            <w:pPr>
              <w:tabs>
                <w:tab w:val="left" w:pos="709"/>
              </w:tabs>
              <w:rPr>
                <w:sz w:val="22"/>
                <w:szCs w:val="22"/>
              </w:rPr>
            </w:pPr>
            <w:r w:rsidRPr="00814427">
              <w:rPr>
                <w:sz w:val="22"/>
                <w:szCs w:val="22"/>
              </w:rPr>
              <w:t>Creditors</w:t>
            </w:r>
          </w:p>
        </w:tc>
        <w:tc>
          <w:tcPr>
            <w:tcW w:w="1417" w:type="dxa"/>
          </w:tcPr>
          <w:p w:rsidR="00BA6AD1" w:rsidRPr="00CC5349" w:rsidRDefault="00BA6AD1" w:rsidP="00CC5349">
            <w:pPr>
              <w:tabs>
                <w:tab w:val="left" w:pos="709"/>
              </w:tabs>
              <w:rPr>
                <w:sz w:val="22"/>
                <w:szCs w:val="22"/>
              </w:rPr>
            </w:pPr>
            <w:r w:rsidRPr="00CC5349">
              <w:rPr>
                <w:sz w:val="22"/>
                <w:szCs w:val="22"/>
              </w:rPr>
              <w:t xml:space="preserve">£  </w:t>
            </w:r>
            <w:r w:rsidR="00CC5349" w:rsidRPr="00CC5349">
              <w:rPr>
                <w:sz w:val="22"/>
                <w:szCs w:val="22"/>
              </w:rPr>
              <w:t>0</w:t>
            </w:r>
            <w:r w:rsidRPr="00CC5349">
              <w:rPr>
                <w:sz w:val="22"/>
                <w:szCs w:val="22"/>
              </w:rPr>
              <w:t>.</w:t>
            </w:r>
            <w:r w:rsidR="00CC5349" w:rsidRPr="00CC5349">
              <w:rPr>
                <w:sz w:val="22"/>
                <w:szCs w:val="22"/>
              </w:rPr>
              <w:t>3</w:t>
            </w:r>
            <w:r w:rsidRPr="00CC5349">
              <w:rPr>
                <w:sz w:val="22"/>
                <w:szCs w:val="22"/>
              </w:rPr>
              <w:t>m</w:t>
            </w:r>
          </w:p>
        </w:tc>
        <w:tc>
          <w:tcPr>
            <w:tcW w:w="1417" w:type="dxa"/>
          </w:tcPr>
          <w:p w:rsidR="00BA6AD1" w:rsidRPr="00CC5349" w:rsidRDefault="00BA6AD1" w:rsidP="00CC5349">
            <w:pPr>
              <w:tabs>
                <w:tab w:val="left" w:pos="709"/>
              </w:tabs>
              <w:rPr>
                <w:sz w:val="22"/>
                <w:szCs w:val="22"/>
              </w:rPr>
            </w:pPr>
            <w:r w:rsidRPr="00CC5349">
              <w:rPr>
                <w:sz w:val="22"/>
                <w:szCs w:val="22"/>
              </w:rPr>
              <w:t>£  0.</w:t>
            </w:r>
            <w:r w:rsidR="00CC5349" w:rsidRPr="00CC5349">
              <w:rPr>
                <w:sz w:val="22"/>
                <w:szCs w:val="22"/>
              </w:rPr>
              <w:t>2</w:t>
            </w:r>
            <w:r w:rsidRPr="00CC5349">
              <w:rPr>
                <w:sz w:val="22"/>
                <w:szCs w:val="22"/>
              </w:rPr>
              <w:t>m</w:t>
            </w:r>
          </w:p>
        </w:tc>
        <w:tc>
          <w:tcPr>
            <w:tcW w:w="851" w:type="dxa"/>
          </w:tcPr>
          <w:p w:rsidR="00BA6AD1" w:rsidRPr="00814427" w:rsidRDefault="00BA6AD1">
            <w:pPr>
              <w:tabs>
                <w:tab w:val="left" w:pos="709"/>
              </w:tabs>
              <w:rPr>
                <w:sz w:val="22"/>
                <w:szCs w:val="22"/>
              </w:rPr>
            </w:pPr>
          </w:p>
        </w:tc>
      </w:tr>
    </w:tbl>
    <w:p w:rsidR="00BA6AD1" w:rsidRDefault="00BA6AD1" w:rsidP="00002149">
      <w:pPr>
        <w:numPr>
          <w:ilvl w:val="0"/>
          <w:numId w:val="10"/>
        </w:numPr>
        <w:spacing w:line="240" w:lineRule="auto"/>
        <w:ind w:left="357" w:hanging="357"/>
      </w:pPr>
    </w:p>
    <w:p w:rsidR="00BA6AD1" w:rsidRPr="00EE3829" w:rsidRDefault="00BA6AD1" w:rsidP="00814427">
      <w:pPr>
        <w:ind w:left="1004" w:hanging="284"/>
      </w:pPr>
      <w:r>
        <w:t>(</w:t>
      </w:r>
      <w:proofErr w:type="spellStart"/>
      <w:r>
        <w:t>i</w:t>
      </w:r>
      <w:proofErr w:type="spellEnd"/>
      <w:r>
        <w:t>)</w:t>
      </w:r>
      <w:r>
        <w:tab/>
        <w:t xml:space="preserve"> </w:t>
      </w:r>
      <w:r w:rsidRPr="00EE3829">
        <w:t xml:space="preserve">The anticipated return on these investments is estimated </w:t>
      </w:r>
      <w:r w:rsidRPr="0025377F">
        <w:t>at £</w:t>
      </w:r>
      <w:r w:rsidR="0025377F" w:rsidRPr="0025377F">
        <w:t>513</w:t>
      </w:r>
      <w:r w:rsidRPr="0025377F">
        <w:t>,</w:t>
      </w:r>
      <w:r w:rsidR="0025377F" w:rsidRPr="0025377F">
        <w:t>7</w:t>
      </w:r>
      <w:r w:rsidRPr="0025377F">
        <w:t>00</w:t>
      </w:r>
      <w:r w:rsidRPr="00EE3829">
        <w:t xml:space="preserve"> for 20</w:t>
      </w:r>
      <w:r w:rsidR="00EE3829" w:rsidRPr="00EE3829">
        <w:t>1</w:t>
      </w:r>
      <w:r w:rsidRPr="00EE3829">
        <w:t>0/1</w:t>
      </w:r>
      <w:r w:rsidR="00EE3829" w:rsidRPr="00EE3829">
        <w:t>1</w:t>
      </w:r>
      <w:r w:rsidRPr="00EE3829">
        <w:t xml:space="preserve"> with current projections </w:t>
      </w:r>
      <w:r w:rsidR="00EE3829" w:rsidRPr="00EE3829">
        <w:t xml:space="preserve">below </w:t>
      </w:r>
      <w:r w:rsidR="00887751" w:rsidRPr="00EE3829">
        <w:t>target</w:t>
      </w:r>
      <w:r w:rsidRPr="00EE3829">
        <w:t>.</w:t>
      </w:r>
    </w:p>
    <w:p w:rsidR="00BA6AD1" w:rsidRPr="00EE3829" w:rsidRDefault="00BA6AD1" w:rsidP="00002149">
      <w:pPr>
        <w:spacing w:line="120" w:lineRule="auto"/>
        <w:rPr>
          <w:highlight w:val="yellow"/>
        </w:rPr>
      </w:pPr>
    </w:p>
    <w:p w:rsidR="00BA6AD1" w:rsidRPr="00894EA2" w:rsidRDefault="00BA6AD1" w:rsidP="00231D84">
      <w:pPr>
        <w:ind w:left="1145" w:hanging="425"/>
      </w:pPr>
      <w:r w:rsidRPr="00894EA2">
        <w:t>(ii)</w:t>
      </w:r>
      <w:r w:rsidRPr="00894EA2">
        <w:tab/>
        <w:t xml:space="preserve">The cost of managing this debt, in terms of interest payable, is budgeted at </w:t>
      </w:r>
      <w:r w:rsidRPr="0025377F">
        <w:t>£1,32</w:t>
      </w:r>
      <w:r w:rsidR="0025377F" w:rsidRPr="0025377F">
        <w:t>2</w:t>
      </w:r>
      <w:r w:rsidRPr="0025377F">
        <w:t>,</w:t>
      </w:r>
      <w:r w:rsidR="0025377F" w:rsidRPr="0025377F">
        <w:t>7</w:t>
      </w:r>
      <w:r w:rsidRPr="0025377F">
        <w:t>00 in 20</w:t>
      </w:r>
      <w:r w:rsidR="00EE3829" w:rsidRPr="0025377F">
        <w:t>1</w:t>
      </w:r>
      <w:r w:rsidRPr="0025377F">
        <w:t>0/1</w:t>
      </w:r>
      <w:r w:rsidR="00EE3829" w:rsidRPr="0025377F">
        <w:t>1</w:t>
      </w:r>
      <w:r w:rsidRPr="0025377F">
        <w:t xml:space="preserve"> with costs </w:t>
      </w:r>
      <w:r w:rsidR="00887751" w:rsidRPr="0025377F">
        <w:t>current</w:t>
      </w:r>
      <w:r w:rsidRPr="0025377F">
        <w:t xml:space="preserve">ly </w:t>
      </w:r>
      <w:r w:rsidR="00887751" w:rsidRPr="0025377F">
        <w:t>on</w:t>
      </w:r>
      <w:r w:rsidRPr="0025377F">
        <w:t xml:space="preserve"> target. There</w:t>
      </w:r>
      <w:r w:rsidRPr="00894EA2">
        <w:t xml:space="preserve"> are no proposals for further borrowing during 20</w:t>
      </w:r>
      <w:r w:rsidR="00EE3829" w:rsidRPr="00894EA2">
        <w:t>1</w:t>
      </w:r>
      <w:r w:rsidRPr="00894EA2">
        <w:t>0/1</w:t>
      </w:r>
      <w:r w:rsidR="00EE3829" w:rsidRPr="00894EA2">
        <w:t>1</w:t>
      </w:r>
      <w:r w:rsidRPr="00894EA2">
        <w:t>, although this will be kept under review.</w:t>
      </w:r>
    </w:p>
    <w:p w:rsidR="00BA6AD1" w:rsidRPr="00894EA2" w:rsidRDefault="00BA6AD1" w:rsidP="00002149">
      <w:pPr>
        <w:spacing w:line="120" w:lineRule="auto"/>
        <w:ind w:left="1003" w:hanging="425"/>
      </w:pPr>
      <w:r w:rsidRPr="00894EA2">
        <w:t xml:space="preserve">                                                                                        </w:t>
      </w:r>
    </w:p>
    <w:p w:rsidR="008739E1" w:rsidRDefault="00BA6AD1" w:rsidP="00814427">
      <w:pPr>
        <w:ind w:left="1145" w:hanging="425"/>
      </w:pPr>
      <w:r w:rsidRPr="00894EA2">
        <w:t xml:space="preserve">(iii) </w:t>
      </w:r>
      <w:r w:rsidR="00A4470B" w:rsidRPr="00894EA2">
        <w:tab/>
      </w:r>
      <w:r w:rsidRPr="00894EA2">
        <w:t>There may be a significant impact on the cash-flow of the Council if outstanding debts are not received. Any debts deemed to be irrecoverable are written off against a bad debt provision set up specifically for this purpose. Other significant debts relate to Council Tax and NNDR.</w:t>
      </w:r>
      <w:r>
        <w:br/>
      </w:r>
    </w:p>
    <w:p w:rsidR="00BA6AD1" w:rsidRDefault="00BA6AD1" w:rsidP="00814427">
      <w:pPr>
        <w:ind w:left="1146" w:hanging="426"/>
      </w:pPr>
      <w:proofErr w:type="gramStart"/>
      <w:r>
        <w:t>(iv)</w:t>
      </w:r>
      <w:r w:rsidR="00A4470B">
        <w:t xml:space="preserve"> </w:t>
      </w:r>
      <w:r w:rsidR="00A4470B">
        <w:tab/>
      </w:r>
      <w:r>
        <w:t>Use</w:t>
      </w:r>
      <w:proofErr w:type="gramEnd"/>
      <w:r>
        <w:t xml:space="preserve"> of reserves</w:t>
      </w:r>
    </w:p>
    <w:p w:rsidR="00BA6AD1" w:rsidRDefault="00BA6AD1" w:rsidP="00814427">
      <w:pPr>
        <w:ind w:left="1146" w:hanging="120"/>
      </w:pPr>
      <w:r>
        <w:t xml:space="preserve"> </w:t>
      </w:r>
      <w:r w:rsidRPr="00100158">
        <w:t xml:space="preserve">The usage and level of all Council reserves are set out in the Medium Term Financial Plan (CORP </w:t>
      </w:r>
      <w:r w:rsidR="007C0910" w:rsidRPr="00100158">
        <w:t>35</w:t>
      </w:r>
      <w:r w:rsidRPr="00100158">
        <w:t>/0</w:t>
      </w:r>
      <w:r w:rsidR="007C0910" w:rsidRPr="00100158">
        <w:t>9</w:t>
      </w:r>
      <w:r w:rsidRPr="00100158">
        <w:t>), approved b</w:t>
      </w:r>
      <w:r w:rsidR="00CE0913" w:rsidRPr="00100158">
        <w:t>y full Council in September 200</w:t>
      </w:r>
      <w:r w:rsidR="006A4A1C" w:rsidRPr="00100158">
        <w:t>9</w:t>
      </w:r>
      <w:r w:rsidRPr="00100158">
        <w:t>. It is anticipated that £</w:t>
      </w:r>
      <w:r w:rsidR="006A4A1C" w:rsidRPr="00100158">
        <w:t>3</w:t>
      </w:r>
      <w:r w:rsidRPr="00100158">
        <w:t>.</w:t>
      </w:r>
      <w:r w:rsidR="00100158" w:rsidRPr="00100158">
        <w:t>256</w:t>
      </w:r>
      <w:r w:rsidRPr="00100158">
        <w:t>m will be required from the Council’s Revenue</w:t>
      </w:r>
      <w:r w:rsidR="007C0910" w:rsidRPr="00100158">
        <w:t xml:space="preserve"> Reserves </w:t>
      </w:r>
      <w:r w:rsidRPr="00100158">
        <w:t>to fund revenue expenditure in 20</w:t>
      </w:r>
      <w:r w:rsidR="00EE3829" w:rsidRPr="00100158">
        <w:t>1</w:t>
      </w:r>
      <w:r w:rsidRPr="00100158">
        <w:t>0</w:t>
      </w:r>
      <w:r w:rsidR="00EE3829" w:rsidRPr="00100158">
        <w:t>/11 (including</w:t>
      </w:r>
      <w:r w:rsidR="00EE3829" w:rsidRPr="00FB10DD">
        <w:t xml:space="preserve"> £1,</w:t>
      </w:r>
      <w:r w:rsidRPr="00FB10DD">
        <w:t>5</w:t>
      </w:r>
      <w:r w:rsidR="00EE3829" w:rsidRPr="00FB10DD">
        <w:t>18</w:t>
      </w:r>
      <w:r w:rsidRPr="00FB10DD">
        <w:t>,</w:t>
      </w:r>
      <w:r w:rsidR="00EE3829" w:rsidRPr="00FB10DD">
        <w:t>0</w:t>
      </w:r>
      <w:r w:rsidRPr="00FB10DD">
        <w:t>00 of 200</w:t>
      </w:r>
      <w:r w:rsidR="00EE3829" w:rsidRPr="00FB10DD">
        <w:t>9</w:t>
      </w:r>
      <w:r w:rsidRPr="00FB10DD">
        <w:t>/</w:t>
      </w:r>
      <w:r w:rsidR="00EE3829" w:rsidRPr="00FB10DD">
        <w:t>1</w:t>
      </w:r>
      <w:r w:rsidRPr="00FB10DD">
        <w:t xml:space="preserve">0 carry forwards). Any under or overspend at the year end will adjust the balance </w:t>
      </w:r>
      <w:r w:rsidRPr="00FB10DD">
        <w:lastRenderedPageBreak/>
        <w:t>transferred to or from the reserve.  Council reserves are under significant pressure for 20</w:t>
      </w:r>
      <w:r w:rsidR="00EE3829" w:rsidRPr="00FB10DD">
        <w:t>1</w:t>
      </w:r>
      <w:r w:rsidRPr="00FB10DD">
        <w:t>0/1</w:t>
      </w:r>
      <w:r w:rsidR="00EE3829" w:rsidRPr="00FB10DD">
        <w:t>1</w:t>
      </w:r>
      <w:r w:rsidRPr="00FB10DD">
        <w:t xml:space="preserve"> and the savings strategy approved in February 20</w:t>
      </w:r>
      <w:r w:rsidR="00EE3829" w:rsidRPr="00FB10DD">
        <w:t>1</w:t>
      </w:r>
      <w:r w:rsidRPr="00FB10DD">
        <w:t>0 will help to resolve the projected deficit.  However, further savings must be identified to replenish usable revenue reserves to the minimum required.</w:t>
      </w:r>
    </w:p>
    <w:p w:rsidR="00BA6AD1" w:rsidRDefault="00BA6AD1">
      <w:pPr>
        <w:pStyle w:val="BodyTextIndent"/>
        <w:ind w:left="0"/>
      </w:pPr>
    </w:p>
    <w:p w:rsidR="00BA6AD1" w:rsidRPr="00227543" w:rsidRDefault="00A4470B">
      <w:pPr>
        <w:rPr>
          <w:b/>
        </w:rPr>
      </w:pPr>
      <w:r w:rsidRPr="00227543">
        <w:rPr>
          <w:b/>
        </w:rPr>
        <w:t>8</w:t>
      </w:r>
      <w:r w:rsidR="00BA6AD1" w:rsidRPr="00227543">
        <w:rPr>
          <w:b/>
        </w:rPr>
        <w:t>.</w:t>
      </w:r>
      <w:r w:rsidR="00B55570">
        <w:rPr>
          <w:b/>
        </w:rPr>
        <w:t>2</w:t>
      </w:r>
      <w:r w:rsidR="00BA6AD1" w:rsidRPr="00227543">
        <w:rPr>
          <w:b/>
        </w:rPr>
        <w:tab/>
        <w:t>C</w:t>
      </w:r>
      <w:r w:rsidR="00283C5C" w:rsidRPr="00227543">
        <w:rPr>
          <w:b/>
        </w:rPr>
        <w:t>S</w:t>
      </w:r>
      <w:r w:rsidR="00BA6AD1" w:rsidRPr="00227543">
        <w:rPr>
          <w:b/>
        </w:rPr>
        <w:t xml:space="preserve">R07 Efficiency Savings </w:t>
      </w:r>
    </w:p>
    <w:p w:rsidR="00BA6AD1" w:rsidRPr="00283C5C" w:rsidRDefault="00BA6AD1" w:rsidP="00002149">
      <w:pPr>
        <w:spacing w:line="120" w:lineRule="auto"/>
        <w:rPr>
          <w:highlight w:val="yellow"/>
        </w:rPr>
      </w:pPr>
    </w:p>
    <w:p w:rsidR="00BA6AD1" w:rsidRPr="007C3337" w:rsidRDefault="00BA6AD1">
      <w:pPr>
        <w:tabs>
          <w:tab w:val="left" w:pos="1134"/>
        </w:tabs>
        <w:ind w:left="720"/>
        <w:rPr>
          <w:b/>
        </w:rPr>
      </w:pPr>
      <w:r w:rsidRPr="007C3337">
        <w:rPr>
          <w:b/>
        </w:rPr>
        <w:t>Introduction</w:t>
      </w:r>
    </w:p>
    <w:p w:rsidR="00BA6AD1" w:rsidRPr="00227543" w:rsidRDefault="00BA6AD1" w:rsidP="00520EBB">
      <w:pPr>
        <w:tabs>
          <w:tab w:val="left" w:pos="1134"/>
        </w:tabs>
        <w:ind w:left="709"/>
      </w:pPr>
      <w:r w:rsidRPr="007C3337">
        <w:t xml:space="preserve">The </w:t>
      </w:r>
      <w:r w:rsidR="007C3337" w:rsidRPr="007C3337">
        <w:t>2009</w:t>
      </w:r>
      <w:r w:rsidR="007C3337">
        <w:t xml:space="preserve">/10 </w:t>
      </w:r>
      <w:r w:rsidR="007C3337" w:rsidRPr="00BB28DC">
        <w:t xml:space="preserve">Annual Efficiency Statement was submitted to the Department of Communities and Local Government [DCLG] in June 2010 and illustrated the continuing achievement of the Council in meeting the Governments efficiency target. </w:t>
      </w:r>
      <w:r w:rsidR="007C3337">
        <w:t xml:space="preserve">Details of the </w:t>
      </w:r>
      <w:r w:rsidR="007C3337" w:rsidRPr="00BB28DC">
        <w:t>Comprehensive Spending Review period 2008-09 to 2010-11</w:t>
      </w:r>
      <w:r w:rsidR="007C3337">
        <w:t xml:space="preserve"> is attached for information and illustrates the council to be on-target to achieve the Governments requirements for the third year.</w:t>
      </w:r>
    </w:p>
    <w:p w:rsidR="00922761" w:rsidRPr="00227543" w:rsidRDefault="00922761" w:rsidP="00227543">
      <w:pPr>
        <w:tabs>
          <w:tab w:val="left" w:pos="1134"/>
        </w:tabs>
        <w:ind w:left="709"/>
      </w:pPr>
    </w:p>
    <w:p w:rsidR="00BA6AD1" w:rsidRPr="00227543" w:rsidRDefault="00BA6AD1">
      <w:pPr>
        <w:tabs>
          <w:tab w:val="left" w:pos="1560"/>
        </w:tabs>
        <w:ind w:left="720"/>
        <w:outlineLvl w:val="1"/>
        <w:rPr>
          <w:b/>
        </w:rPr>
      </w:pPr>
      <w:r w:rsidRPr="00227543">
        <w:rPr>
          <w:b/>
        </w:rPr>
        <w:t xml:space="preserve">Comprehensive Spending Review (CSR07) NI 179 </w:t>
      </w:r>
    </w:p>
    <w:p w:rsidR="00BA6AD1" w:rsidRPr="00227543" w:rsidRDefault="007C3337" w:rsidP="00CC40E2">
      <w:pPr>
        <w:tabs>
          <w:tab w:val="left" w:pos="1276"/>
        </w:tabs>
        <w:ind w:left="709"/>
        <w:outlineLvl w:val="1"/>
      </w:pPr>
      <w:r w:rsidRPr="00BB28DC">
        <w:t xml:space="preserve">National Indicator 179 (NI 179) is one of the new indicators in the national indicator set and is the mechanism through which councils report their progress on achieving VFM gains. The CSR07 VFM delivery plan states that, unlike Gershon, there will be no mandatory VFM target for all Councils. However, it is considered necessary for the Council to calculate its own baseline figures as a means to accurately monitor its progress. Appendix B illustrates the current baseline, future forecasts and achievements to </w:t>
      </w:r>
      <w:r w:rsidRPr="001D7220">
        <w:t>date</w:t>
      </w:r>
      <w:r w:rsidR="00227543" w:rsidRPr="001D7220">
        <w:t>.</w:t>
      </w:r>
    </w:p>
    <w:p w:rsidR="00BA6AD1" w:rsidRPr="00283C5C" w:rsidRDefault="00BA6AD1">
      <w:pPr>
        <w:ind w:left="1440"/>
        <w:outlineLvl w:val="1"/>
        <w:rPr>
          <w:highlight w:val="yellow"/>
        </w:rPr>
      </w:pPr>
    </w:p>
    <w:p w:rsidR="00BA6AD1" w:rsidRPr="001D7220" w:rsidRDefault="00BA6AD1">
      <w:pPr>
        <w:ind w:firstLine="698"/>
        <w:outlineLvl w:val="1"/>
        <w:rPr>
          <w:b/>
        </w:rPr>
      </w:pPr>
      <w:r w:rsidRPr="001D7220">
        <w:rPr>
          <w:b/>
        </w:rPr>
        <w:t>Corporate Efficiency Agenda</w:t>
      </w:r>
    </w:p>
    <w:p w:rsidR="00002149" w:rsidRPr="001D7220" w:rsidRDefault="00CA76F1" w:rsidP="00C307AA">
      <w:pPr>
        <w:pStyle w:val="BodyTextIndent"/>
      </w:pPr>
      <w:r w:rsidRPr="001D7220">
        <w:t>The Council is undertaking a transformation process to review all services and to make significant savings</w:t>
      </w:r>
      <w:r w:rsidR="00C307AA" w:rsidRPr="001D7220">
        <w:t xml:space="preserve">. </w:t>
      </w:r>
      <w:r w:rsidR="007C3337" w:rsidRPr="001D7220">
        <w:t>Financial projections indicate a shortfall in the Councils budget requirements and further pressures have identified that an additional £1million is needed in order to build reserves back up to a prudent level by 2014/15.</w:t>
      </w:r>
    </w:p>
    <w:p w:rsidR="001D7220" w:rsidRPr="001D7220" w:rsidRDefault="001D7220" w:rsidP="00C307AA">
      <w:pPr>
        <w:pStyle w:val="BodyTextIndent"/>
      </w:pPr>
    </w:p>
    <w:p w:rsidR="00BA6AD1" w:rsidRPr="001D7220" w:rsidRDefault="00C307AA" w:rsidP="00C307AA">
      <w:pPr>
        <w:pStyle w:val="BodyTextIndent"/>
      </w:pPr>
      <w:r w:rsidRPr="001D7220">
        <w:t>In order</w:t>
      </w:r>
      <w:r w:rsidR="00BA6AD1" w:rsidRPr="001D7220">
        <w:t xml:space="preserve"> to address this shortfall a new budget discipline </w:t>
      </w:r>
      <w:r w:rsidR="00F60581" w:rsidRPr="001D7220">
        <w:t>has been</w:t>
      </w:r>
      <w:r w:rsidR="00BA6AD1" w:rsidRPr="001D7220">
        <w:t xml:space="preserve"> approved and implemented as part of the 20</w:t>
      </w:r>
      <w:r w:rsidR="00CC40E2" w:rsidRPr="001D7220">
        <w:t>10/1</w:t>
      </w:r>
      <w:r w:rsidR="00BA6AD1" w:rsidRPr="001D7220">
        <w:t xml:space="preserve">1 budget process. </w:t>
      </w:r>
      <w:r w:rsidRPr="001D7220">
        <w:t>T</w:t>
      </w:r>
      <w:r w:rsidR="00F60581" w:rsidRPr="001D7220">
        <w:t xml:space="preserve">he savings strategy </w:t>
      </w:r>
      <w:r w:rsidRPr="001D7220">
        <w:t>wi</w:t>
      </w:r>
      <w:r w:rsidR="00F60581" w:rsidRPr="001D7220">
        <w:t xml:space="preserve">ll concentrate on the following areas to deliver the required </w:t>
      </w:r>
      <w:r w:rsidR="00CA76F1" w:rsidRPr="001D7220">
        <w:t>savings</w:t>
      </w:r>
      <w:r w:rsidR="00BA6AD1" w:rsidRPr="001D7220">
        <w:t>: -</w:t>
      </w:r>
    </w:p>
    <w:p w:rsidR="00BA6AD1" w:rsidRPr="001D7220" w:rsidRDefault="00BA6AD1" w:rsidP="00002149">
      <w:pPr>
        <w:pStyle w:val="BodyTextIndent"/>
        <w:spacing w:line="14" w:lineRule="auto"/>
        <w:ind w:left="709"/>
      </w:pPr>
    </w:p>
    <w:p w:rsidR="00BA6AD1" w:rsidRPr="001D7220" w:rsidRDefault="00BA6AD1" w:rsidP="00814427">
      <w:pPr>
        <w:pStyle w:val="BodyTextIndent"/>
        <w:numPr>
          <w:ilvl w:val="0"/>
          <w:numId w:val="19"/>
        </w:numPr>
        <w:tabs>
          <w:tab w:val="left" w:pos="1418"/>
        </w:tabs>
        <w:ind w:left="1425"/>
      </w:pPr>
      <w:r w:rsidRPr="001D7220">
        <w:t xml:space="preserve">Deliver service improvement reviews, providing effective service delivery whilst pursuing a 5% reduction in the gross </w:t>
      </w:r>
      <w:r w:rsidR="00CC40E2" w:rsidRPr="001D7220">
        <w:t>cost of those services</w:t>
      </w:r>
      <w:r w:rsidRPr="001D7220">
        <w:t>;</w:t>
      </w:r>
    </w:p>
    <w:p w:rsidR="00BA6AD1" w:rsidRPr="001D7220" w:rsidRDefault="00814427" w:rsidP="00814427">
      <w:pPr>
        <w:pStyle w:val="BodyTextIndent"/>
        <w:numPr>
          <w:ilvl w:val="0"/>
          <w:numId w:val="37"/>
        </w:numPr>
        <w:tabs>
          <w:tab w:val="left" w:pos="1418"/>
        </w:tabs>
        <w:ind w:left="1088" w:firstLine="17"/>
      </w:pPr>
      <w:r w:rsidRPr="001D7220">
        <w:t>Carry</w:t>
      </w:r>
      <w:r w:rsidR="00BA6AD1" w:rsidRPr="001D7220">
        <w:t xml:space="preserve"> out an asset review to deliver recurring income or a reduction in cost;</w:t>
      </w:r>
    </w:p>
    <w:p w:rsidR="00BA6AD1" w:rsidRPr="001D7220" w:rsidRDefault="00814427" w:rsidP="00002149">
      <w:pPr>
        <w:pStyle w:val="BodyTextIndent"/>
        <w:numPr>
          <w:ilvl w:val="0"/>
          <w:numId w:val="12"/>
        </w:numPr>
        <w:tabs>
          <w:tab w:val="left" w:pos="1418"/>
          <w:tab w:val="num" w:pos="1448"/>
        </w:tabs>
        <w:ind w:left="1446" w:hanging="357"/>
      </w:pPr>
      <w:r w:rsidRPr="001D7220">
        <w:t>As part of</w:t>
      </w:r>
      <w:r w:rsidR="00CC40E2" w:rsidRPr="001D7220">
        <w:t xml:space="preserve"> the transformation programme, alternative op</w:t>
      </w:r>
      <w:r w:rsidR="00F60581" w:rsidRPr="001D7220">
        <w:t>t</w:t>
      </w:r>
      <w:r w:rsidR="00CC40E2" w:rsidRPr="001D7220">
        <w:t>ions for service delivery</w:t>
      </w:r>
      <w:r w:rsidR="001D7220" w:rsidRPr="001D7220">
        <w:t xml:space="preserve"> including</w:t>
      </w:r>
      <w:r w:rsidR="00CC40E2" w:rsidRPr="001D7220">
        <w:t xml:space="preserve"> shared services and </w:t>
      </w:r>
      <w:r w:rsidR="00F60581" w:rsidRPr="001D7220">
        <w:t xml:space="preserve">the </w:t>
      </w:r>
      <w:r w:rsidR="00CC40E2" w:rsidRPr="001D7220">
        <w:t>commissioning of services</w:t>
      </w:r>
      <w:r w:rsidR="001D7220" w:rsidRPr="001D7220">
        <w:t xml:space="preserve"> will be considered</w:t>
      </w:r>
      <w:r w:rsidR="00BA6AD1" w:rsidRPr="001D7220">
        <w:t>;</w:t>
      </w:r>
    </w:p>
    <w:p w:rsidR="00227543" w:rsidRPr="001D7220" w:rsidRDefault="00F60581" w:rsidP="00227543">
      <w:pPr>
        <w:pStyle w:val="BodyTextIndent"/>
        <w:numPr>
          <w:ilvl w:val="0"/>
          <w:numId w:val="12"/>
        </w:numPr>
        <w:tabs>
          <w:tab w:val="num" w:pos="1440"/>
        </w:tabs>
        <w:ind w:left="1440"/>
      </w:pPr>
      <w:r w:rsidRPr="001D7220">
        <w:t xml:space="preserve">Carry out reviews of those services which do not fall within the Council’s core priorities or which are not statutory. </w:t>
      </w:r>
    </w:p>
    <w:p w:rsidR="001D7220" w:rsidRDefault="001D7220" w:rsidP="001D7220">
      <w:pPr>
        <w:pStyle w:val="BodyTextIndent"/>
        <w:spacing w:line="360" w:lineRule="auto"/>
        <w:ind w:left="1440"/>
      </w:pPr>
    </w:p>
    <w:p w:rsidR="00BA6AD1" w:rsidRPr="001D7220" w:rsidRDefault="00A4470B" w:rsidP="001D7220">
      <w:pPr>
        <w:pStyle w:val="BodyTextIndent"/>
        <w:spacing w:line="360" w:lineRule="auto"/>
        <w:ind w:left="0"/>
        <w:rPr>
          <w:b/>
        </w:rPr>
      </w:pPr>
      <w:r w:rsidRPr="001D7220">
        <w:rPr>
          <w:b/>
        </w:rPr>
        <w:lastRenderedPageBreak/>
        <w:t>9</w:t>
      </w:r>
      <w:r w:rsidR="00BA6AD1" w:rsidRPr="001D7220">
        <w:rPr>
          <w:b/>
        </w:rPr>
        <w:t>.</w:t>
      </w:r>
      <w:r w:rsidR="00BA6AD1" w:rsidRPr="001D7220">
        <w:rPr>
          <w:b/>
        </w:rPr>
        <w:tab/>
        <w:t>CONSULTATION</w:t>
      </w:r>
    </w:p>
    <w:p w:rsidR="00BA6AD1" w:rsidRDefault="00A4470B">
      <w:r>
        <w:t>9</w:t>
      </w:r>
      <w:r w:rsidR="00BA6AD1">
        <w:t xml:space="preserve">.1  </w:t>
      </w:r>
      <w:r w:rsidR="00BA6AD1">
        <w:tab/>
        <w:t>Consultation to Date.</w:t>
      </w:r>
    </w:p>
    <w:p w:rsidR="00BA6AD1" w:rsidRDefault="00EE3829">
      <w:pPr>
        <w:pStyle w:val="Header"/>
        <w:tabs>
          <w:tab w:val="clear" w:pos="4153"/>
          <w:tab w:val="clear" w:pos="8306"/>
          <w:tab w:val="left" w:pos="709"/>
        </w:tabs>
        <w:ind w:left="705"/>
      </w:pPr>
      <w:r>
        <w:t>JMT</w:t>
      </w:r>
      <w:r w:rsidR="00BA6AD1">
        <w:t xml:space="preserve"> have considered the issues </w:t>
      </w:r>
      <w:proofErr w:type="gramStart"/>
      <w:r w:rsidR="00BA6AD1">
        <w:t>raised</w:t>
      </w:r>
      <w:proofErr w:type="gramEnd"/>
      <w:r w:rsidR="00BA6AD1">
        <w:t xml:space="preserve"> in this report.</w:t>
      </w:r>
    </w:p>
    <w:p w:rsidR="00BA6AD1" w:rsidRDefault="00BA6AD1" w:rsidP="00002149">
      <w:pPr>
        <w:spacing w:line="360" w:lineRule="auto"/>
      </w:pPr>
    </w:p>
    <w:p w:rsidR="00BA6AD1" w:rsidRDefault="00A4470B">
      <w:r>
        <w:t>9</w:t>
      </w:r>
      <w:r w:rsidR="00BA6AD1">
        <w:t xml:space="preserve">.2  </w:t>
      </w:r>
      <w:r w:rsidR="00BA6AD1">
        <w:tab/>
        <w:t>Consultation proposed.</w:t>
      </w:r>
    </w:p>
    <w:p w:rsidR="00BA6AD1" w:rsidRDefault="008C7800">
      <w:pPr>
        <w:pStyle w:val="Header"/>
        <w:tabs>
          <w:tab w:val="clear" w:pos="4153"/>
          <w:tab w:val="clear" w:pos="8306"/>
          <w:tab w:val="left" w:pos="709"/>
        </w:tabs>
        <w:ind w:left="705"/>
      </w:pPr>
      <w:proofErr w:type="gramStart"/>
      <w:r>
        <w:t>None</w:t>
      </w:r>
      <w:r w:rsidR="00BA6AD1">
        <w:t>.</w:t>
      </w:r>
      <w:proofErr w:type="gramEnd"/>
      <w:r w:rsidR="00BA6AD1">
        <w:t xml:space="preserve"> </w:t>
      </w:r>
    </w:p>
    <w:p w:rsidR="00BA6AD1" w:rsidRDefault="00BA6AD1" w:rsidP="00002149">
      <w:pPr>
        <w:pStyle w:val="Header"/>
        <w:tabs>
          <w:tab w:val="clear" w:pos="4153"/>
          <w:tab w:val="clear" w:pos="8306"/>
          <w:tab w:val="left" w:pos="709"/>
        </w:tabs>
        <w:spacing w:line="360" w:lineRule="auto"/>
        <w:ind w:left="705"/>
      </w:pPr>
    </w:p>
    <w:p w:rsidR="00BA6AD1" w:rsidRDefault="00A4470B">
      <w:pPr>
        <w:rPr>
          <w:b/>
        </w:rPr>
      </w:pPr>
      <w:r>
        <w:rPr>
          <w:b/>
        </w:rPr>
        <w:t>10</w:t>
      </w:r>
      <w:r w:rsidR="00BA6AD1">
        <w:rPr>
          <w:b/>
        </w:rPr>
        <w:t>.</w:t>
      </w:r>
      <w:r w:rsidR="00BA6AD1">
        <w:rPr>
          <w:b/>
        </w:rPr>
        <w:tab/>
        <w:t>RECOMMENDATIONS</w:t>
      </w:r>
    </w:p>
    <w:p w:rsidR="00BA6AD1" w:rsidRDefault="00BA6AD1">
      <w:pPr>
        <w:pStyle w:val="Header"/>
        <w:tabs>
          <w:tab w:val="clear" w:pos="4153"/>
          <w:tab w:val="clear" w:pos="8306"/>
        </w:tabs>
      </w:pPr>
      <w:r>
        <w:tab/>
      </w:r>
      <w:r w:rsidRPr="00BD78E7">
        <w:t xml:space="preserve">The </w:t>
      </w:r>
      <w:r w:rsidR="0079620D" w:rsidRPr="00BD78E7">
        <w:t>Panel</w:t>
      </w:r>
      <w:r w:rsidRPr="00BD78E7">
        <w:t xml:space="preserve"> is asked to</w:t>
      </w:r>
      <w:r>
        <w:t>:</w:t>
      </w:r>
    </w:p>
    <w:p w:rsidR="00BA6AD1" w:rsidRDefault="00BA6AD1" w:rsidP="00002149">
      <w:pPr>
        <w:pStyle w:val="Header"/>
        <w:numPr>
          <w:ilvl w:val="0"/>
          <w:numId w:val="7"/>
        </w:numPr>
        <w:tabs>
          <w:tab w:val="clear" w:pos="4153"/>
          <w:tab w:val="clear" w:pos="8306"/>
        </w:tabs>
      </w:pPr>
      <w:r>
        <w:t xml:space="preserve">Note the budgetary performance position of the Council to </w:t>
      </w:r>
      <w:r w:rsidR="00EE3829">
        <w:t>June</w:t>
      </w:r>
      <w:r>
        <w:t xml:space="preserve"> 20</w:t>
      </w:r>
      <w:r w:rsidR="00EE3829">
        <w:t>1</w:t>
      </w:r>
      <w:r>
        <w:t>0;</w:t>
      </w:r>
    </w:p>
    <w:p w:rsidR="00BA6AD1" w:rsidRPr="001F03EB" w:rsidRDefault="00BA6AD1" w:rsidP="00002149">
      <w:pPr>
        <w:pStyle w:val="Header"/>
        <w:numPr>
          <w:ilvl w:val="0"/>
          <w:numId w:val="7"/>
        </w:numPr>
        <w:tabs>
          <w:tab w:val="clear" w:pos="4153"/>
          <w:tab w:val="clear" w:pos="8306"/>
        </w:tabs>
      </w:pPr>
      <w:r w:rsidRPr="001F03EB">
        <w:t>Note the potential forecast year end position for 20</w:t>
      </w:r>
      <w:r w:rsidR="00EE3829">
        <w:t>1</w:t>
      </w:r>
      <w:r w:rsidRPr="001F03EB">
        <w:t>0/1</w:t>
      </w:r>
      <w:r w:rsidR="00EE3829">
        <w:t>1</w:t>
      </w:r>
      <w:r w:rsidRPr="001F03EB">
        <w:t>, and</w:t>
      </w:r>
    </w:p>
    <w:p w:rsidR="00BA6AD1" w:rsidRDefault="00BA6AD1" w:rsidP="00002149">
      <w:pPr>
        <w:pStyle w:val="Header"/>
        <w:numPr>
          <w:ilvl w:val="0"/>
          <w:numId w:val="7"/>
        </w:numPr>
        <w:tabs>
          <w:tab w:val="clear" w:pos="4153"/>
          <w:tab w:val="clear" w:pos="8306"/>
        </w:tabs>
      </w:pPr>
      <w:r>
        <w:t>Note the planned efficiencies</w:t>
      </w:r>
    </w:p>
    <w:p w:rsidR="00BA6AD1" w:rsidRDefault="00BA6AD1" w:rsidP="00002149">
      <w:pPr>
        <w:pStyle w:val="Header"/>
        <w:tabs>
          <w:tab w:val="clear" w:pos="4153"/>
          <w:tab w:val="clear" w:pos="8306"/>
        </w:tabs>
        <w:spacing w:line="360" w:lineRule="auto"/>
      </w:pPr>
    </w:p>
    <w:p w:rsidR="00BA6AD1" w:rsidRDefault="00A4470B" w:rsidP="00A4470B">
      <w:pPr>
        <w:numPr>
          <w:ilvl w:val="0"/>
          <w:numId w:val="35"/>
        </w:numPr>
        <w:rPr>
          <w:b/>
        </w:rPr>
      </w:pPr>
      <w:r>
        <w:rPr>
          <w:b/>
        </w:rPr>
        <w:t xml:space="preserve">  </w:t>
      </w:r>
      <w:r>
        <w:rPr>
          <w:b/>
        </w:rPr>
        <w:tab/>
      </w:r>
      <w:r w:rsidR="00BA6AD1">
        <w:rPr>
          <w:b/>
        </w:rPr>
        <w:t>REASONS FOR RECOMMENDATIONS</w:t>
      </w:r>
    </w:p>
    <w:p w:rsidR="00BA6AD1" w:rsidRDefault="00BA6AD1" w:rsidP="000D403F">
      <w:pPr>
        <w:pStyle w:val="BodyTextIndent"/>
      </w:pPr>
      <w:r w:rsidRPr="00BD78E7">
        <w:t xml:space="preserve">To show that the </w:t>
      </w:r>
      <w:r w:rsidR="00B1187D" w:rsidRPr="00BD78E7">
        <w:t>Panel</w:t>
      </w:r>
      <w:r w:rsidRPr="00BD78E7">
        <w:t xml:space="preserve"> has been</w:t>
      </w:r>
      <w:r>
        <w:t xml:space="preserve"> informed of the Council’s actual financial position compared with the budgeted position and to bring to their attention any areas of concern.</w:t>
      </w:r>
    </w:p>
    <w:p w:rsidR="000D403F" w:rsidRDefault="000D403F" w:rsidP="000D403F">
      <w:pPr>
        <w:pStyle w:val="BodyTextIndent"/>
      </w:pPr>
    </w:p>
    <w:p w:rsidR="00BA6AD1" w:rsidRDefault="00A4470B" w:rsidP="00A4470B">
      <w:pPr>
        <w:numPr>
          <w:ilvl w:val="0"/>
          <w:numId w:val="35"/>
        </w:numPr>
        <w:rPr>
          <w:b/>
        </w:rPr>
      </w:pPr>
      <w:r>
        <w:rPr>
          <w:b/>
        </w:rPr>
        <w:t xml:space="preserve">  </w:t>
      </w:r>
      <w:r>
        <w:rPr>
          <w:b/>
        </w:rPr>
        <w:tab/>
      </w:r>
      <w:r w:rsidR="00BA6AD1">
        <w:rPr>
          <w:b/>
        </w:rPr>
        <w:t>IMPLICATIONS</w:t>
      </w:r>
    </w:p>
    <w:p w:rsidR="00BA6AD1" w:rsidRDefault="00BA6AD1">
      <w:pPr>
        <w:numPr>
          <w:ilvl w:val="0"/>
          <w:numId w:val="2"/>
        </w:numPr>
        <w:tabs>
          <w:tab w:val="num" w:pos="1063"/>
        </w:tabs>
        <w:ind w:left="1063"/>
      </w:pPr>
      <w:r>
        <w:t>Staffing/Resources – Not applicable.</w:t>
      </w:r>
    </w:p>
    <w:p w:rsidR="00BA6AD1" w:rsidRDefault="00BA6AD1">
      <w:pPr>
        <w:numPr>
          <w:ilvl w:val="0"/>
          <w:numId w:val="2"/>
        </w:numPr>
        <w:tabs>
          <w:tab w:val="num" w:pos="1063"/>
        </w:tabs>
        <w:ind w:left="1063"/>
      </w:pPr>
      <w:r>
        <w:t>Financial – Contained within the main body of the report.</w:t>
      </w:r>
    </w:p>
    <w:p w:rsidR="00BA6AD1" w:rsidRDefault="00BA6AD1">
      <w:pPr>
        <w:numPr>
          <w:ilvl w:val="0"/>
          <w:numId w:val="2"/>
        </w:numPr>
        <w:tabs>
          <w:tab w:val="num" w:pos="1063"/>
        </w:tabs>
        <w:ind w:left="1063"/>
      </w:pPr>
      <w:r>
        <w:t>Legal – Not applicable.</w:t>
      </w:r>
    </w:p>
    <w:p w:rsidR="00BA6AD1" w:rsidRDefault="00BA6AD1">
      <w:pPr>
        <w:numPr>
          <w:ilvl w:val="0"/>
          <w:numId w:val="2"/>
        </w:numPr>
        <w:tabs>
          <w:tab w:val="num" w:pos="1063"/>
        </w:tabs>
        <w:ind w:left="1063"/>
      </w:pPr>
      <w:r>
        <w:t>Corporate – SMT have been involved in the preparation of this report.</w:t>
      </w:r>
    </w:p>
    <w:p w:rsidR="00BA6AD1" w:rsidRDefault="00BA6AD1">
      <w:pPr>
        <w:numPr>
          <w:ilvl w:val="0"/>
          <w:numId w:val="2"/>
        </w:numPr>
        <w:tabs>
          <w:tab w:val="num" w:pos="1063"/>
        </w:tabs>
        <w:ind w:left="1063"/>
      </w:pPr>
      <w:r>
        <w:t>Risk Management – Included in the report above.</w:t>
      </w:r>
    </w:p>
    <w:p w:rsidR="00BA6AD1" w:rsidRDefault="00BA6AD1">
      <w:pPr>
        <w:numPr>
          <w:ilvl w:val="0"/>
          <w:numId w:val="2"/>
        </w:numPr>
        <w:tabs>
          <w:tab w:val="num" w:pos="1063"/>
        </w:tabs>
        <w:ind w:left="1063"/>
      </w:pPr>
      <w:r>
        <w:t>Equality Issues – Not applicable.</w:t>
      </w:r>
    </w:p>
    <w:p w:rsidR="00BA6AD1" w:rsidRDefault="00BA6AD1">
      <w:pPr>
        <w:numPr>
          <w:ilvl w:val="0"/>
          <w:numId w:val="2"/>
        </w:numPr>
        <w:tabs>
          <w:tab w:val="num" w:pos="1063"/>
        </w:tabs>
        <w:ind w:left="1063"/>
      </w:pPr>
      <w:r>
        <w:t>Environmental – Not applicable.</w:t>
      </w:r>
    </w:p>
    <w:p w:rsidR="00BA6AD1" w:rsidRDefault="00BA6AD1">
      <w:pPr>
        <w:numPr>
          <w:ilvl w:val="0"/>
          <w:numId w:val="3"/>
        </w:numPr>
        <w:tabs>
          <w:tab w:val="clear" w:pos="360"/>
          <w:tab w:val="num" w:pos="1063"/>
        </w:tabs>
        <w:ind w:left="1063"/>
      </w:pPr>
      <w:r>
        <w:t>Crime and Disorder – Not applicable.</w:t>
      </w:r>
    </w:p>
    <w:p w:rsidR="008C7800" w:rsidRDefault="008C7800" w:rsidP="008C7800">
      <w:pPr>
        <w:ind w:left="1063"/>
      </w:pPr>
    </w:p>
    <w:p w:rsidR="008C7800" w:rsidRDefault="008C7800">
      <w:pPr>
        <w:spacing w:line="240" w:lineRule="auto"/>
        <w:rPr>
          <w:rFonts w:cs="Arial"/>
          <w:b/>
          <w:szCs w:val="24"/>
        </w:rPr>
      </w:pPr>
      <w:r>
        <w:rPr>
          <w:rFonts w:cs="Arial"/>
          <w:b/>
          <w:szCs w:val="24"/>
        </w:rPr>
        <w:br w:type="page"/>
      </w:r>
    </w:p>
    <w:p w:rsidR="008C7800" w:rsidRPr="008C7800" w:rsidRDefault="008C7800" w:rsidP="008C7800">
      <w:pPr>
        <w:spacing w:line="240" w:lineRule="auto"/>
        <w:rPr>
          <w:rFonts w:cs="Arial"/>
          <w:b/>
          <w:szCs w:val="24"/>
        </w:rPr>
      </w:pPr>
      <w:r w:rsidRPr="008C7800">
        <w:rPr>
          <w:rFonts w:cs="Arial"/>
          <w:b/>
          <w:szCs w:val="24"/>
        </w:rPr>
        <w:lastRenderedPageBreak/>
        <w:t>13</w:t>
      </w:r>
      <w:r>
        <w:rPr>
          <w:rFonts w:cs="Arial"/>
          <w:b/>
          <w:szCs w:val="24"/>
        </w:rPr>
        <w:t>.</w:t>
      </w:r>
      <w:r w:rsidRPr="008C7800">
        <w:rPr>
          <w:rFonts w:cs="Arial"/>
          <w:b/>
          <w:szCs w:val="24"/>
        </w:rPr>
        <w:t xml:space="preserve"> </w:t>
      </w:r>
      <w:r w:rsidRPr="008C7800">
        <w:rPr>
          <w:rFonts w:cs="Arial"/>
          <w:b/>
          <w:szCs w:val="24"/>
        </w:rPr>
        <w:tab/>
        <w:t>IMPACT ASSESSMENTS</w:t>
      </w:r>
    </w:p>
    <w:p w:rsidR="008C7800" w:rsidRPr="008C7800" w:rsidRDefault="008C7800" w:rsidP="008C7800">
      <w:pPr>
        <w:pStyle w:val="ListParagraph"/>
        <w:spacing w:line="240" w:lineRule="auto"/>
        <w:ind w:left="360"/>
        <w:rPr>
          <w:rFonts w:cs="Arial"/>
          <w:b/>
          <w:szCs w:val="24"/>
        </w:rPr>
      </w:pPr>
    </w:p>
    <w:p w:rsidR="008C7800" w:rsidRPr="008C7800" w:rsidRDefault="008C7800" w:rsidP="008C7800">
      <w:pPr>
        <w:pStyle w:val="ListParagraph"/>
        <w:spacing w:line="240" w:lineRule="auto"/>
        <w:ind w:left="360"/>
        <w:rPr>
          <w:rFonts w:cs="Arial"/>
          <w:b/>
          <w:szCs w:val="24"/>
        </w:rPr>
      </w:pPr>
      <w:r w:rsidRPr="008C7800">
        <w:rPr>
          <w:rFonts w:cs="Arial"/>
          <w:b/>
          <w:szCs w:val="24"/>
        </w:rPr>
        <w:t>Does the change have an impact on the following?</w:t>
      </w:r>
    </w:p>
    <w:p w:rsidR="008C7800" w:rsidRPr="008C7800" w:rsidRDefault="008C7800" w:rsidP="008C7800">
      <w:pPr>
        <w:pStyle w:val="ListParagraph"/>
        <w:spacing w:line="240" w:lineRule="auto"/>
        <w:ind w:left="360"/>
        <w:rPr>
          <w:rFonts w:cs="Arial"/>
          <w:b/>
          <w:szCs w:val="24"/>
        </w:rPr>
      </w:pPr>
    </w:p>
    <w:tbl>
      <w:tblPr>
        <w:tblW w:w="0" w:type="auto"/>
        <w:jc w:val="center"/>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5"/>
        <w:gridCol w:w="2316"/>
        <w:gridCol w:w="2316"/>
      </w:tblGrid>
      <w:tr w:rsidR="008C7800" w:rsidRPr="00DF3CD1" w:rsidTr="007C3337">
        <w:trPr>
          <w:jc w:val="center"/>
        </w:trPr>
        <w:tc>
          <w:tcPr>
            <w:tcW w:w="4585" w:type="dxa"/>
          </w:tcPr>
          <w:p w:rsidR="008C7800" w:rsidRPr="00DF3CD1" w:rsidRDefault="008C7800" w:rsidP="007C3337">
            <w:pPr>
              <w:spacing w:line="240" w:lineRule="auto"/>
              <w:jc w:val="center"/>
              <w:rPr>
                <w:rFonts w:cs="Arial"/>
                <w:b/>
                <w:szCs w:val="24"/>
              </w:rPr>
            </w:pPr>
          </w:p>
          <w:p w:rsidR="008C7800" w:rsidRPr="00DF3CD1" w:rsidRDefault="008C7800" w:rsidP="007C3337">
            <w:pPr>
              <w:spacing w:line="240" w:lineRule="auto"/>
              <w:jc w:val="center"/>
              <w:rPr>
                <w:rFonts w:cs="Arial"/>
                <w:b/>
                <w:szCs w:val="24"/>
              </w:rPr>
            </w:pPr>
            <w:r w:rsidRPr="00DF3CD1">
              <w:rPr>
                <w:rFonts w:cs="Arial"/>
                <w:b/>
                <w:szCs w:val="24"/>
              </w:rPr>
              <w:t>Equality Impact Screening</w:t>
            </w:r>
          </w:p>
        </w:tc>
        <w:tc>
          <w:tcPr>
            <w:tcW w:w="2316" w:type="dxa"/>
          </w:tcPr>
          <w:p w:rsidR="008C7800" w:rsidRPr="00DF3CD1" w:rsidRDefault="008C7800" w:rsidP="007C3337">
            <w:pPr>
              <w:spacing w:line="240" w:lineRule="auto"/>
              <w:jc w:val="center"/>
              <w:rPr>
                <w:rFonts w:cs="Arial"/>
                <w:b/>
                <w:szCs w:val="24"/>
              </w:rPr>
            </w:pPr>
          </w:p>
          <w:p w:rsidR="008C7800" w:rsidRPr="00DF3CD1" w:rsidRDefault="008C7800" w:rsidP="007C3337">
            <w:pPr>
              <w:spacing w:line="240" w:lineRule="auto"/>
              <w:jc w:val="center"/>
              <w:rPr>
                <w:rFonts w:cs="Arial"/>
                <w:b/>
                <w:szCs w:val="24"/>
              </w:rPr>
            </w:pPr>
            <w:r w:rsidRPr="00DF3CD1">
              <w:rPr>
                <w:rFonts w:cs="Arial"/>
                <w:b/>
                <w:szCs w:val="24"/>
              </w:rPr>
              <w:t>Impact Yes/No?</w:t>
            </w:r>
          </w:p>
        </w:tc>
        <w:tc>
          <w:tcPr>
            <w:tcW w:w="2316" w:type="dxa"/>
          </w:tcPr>
          <w:p w:rsidR="008C7800" w:rsidRPr="00DF3CD1" w:rsidRDefault="008C7800" w:rsidP="007C3337">
            <w:pPr>
              <w:spacing w:line="240" w:lineRule="auto"/>
              <w:jc w:val="center"/>
              <w:rPr>
                <w:rFonts w:cs="Arial"/>
                <w:b/>
                <w:szCs w:val="24"/>
              </w:rPr>
            </w:pPr>
            <w:r w:rsidRPr="00DF3CD1">
              <w:rPr>
                <w:rFonts w:cs="Arial"/>
                <w:b/>
                <w:szCs w:val="24"/>
              </w:rPr>
              <w:t>Is the impact positive or negative?</w:t>
            </w:r>
          </w:p>
        </w:tc>
      </w:tr>
      <w:tr w:rsidR="008C7800" w:rsidRPr="00DF3CD1" w:rsidTr="007C3337">
        <w:trPr>
          <w:trHeight w:val="457"/>
          <w:jc w:val="center"/>
        </w:trPr>
        <w:tc>
          <w:tcPr>
            <w:tcW w:w="4585" w:type="dxa"/>
          </w:tcPr>
          <w:p w:rsidR="008C7800" w:rsidRPr="00DF3CD1" w:rsidRDefault="008C7800" w:rsidP="007C3337">
            <w:pPr>
              <w:keepNext/>
              <w:keepLines/>
              <w:spacing w:line="240" w:lineRule="auto"/>
              <w:outlineLvl w:val="0"/>
              <w:rPr>
                <w:rFonts w:cs="Arial"/>
                <w:bCs/>
                <w:szCs w:val="24"/>
              </w:rPr>
            </w:pPr>
          </w:p>
          <w:p w:rsidR="008C7800" w:rsidRPr="00DF3CD1" w:rsidRDefault="008C7800" w:rsidP="007C3337">
            <w:pPr>
              <w:keepNext/>
              <w:keepLines/>
              <w:spacing w:line="240" w:lineRule="auto"/>
              <w:outlineLvl w:val="0"/>
              <w:rPr>
                <w:rFonts w:cs="Arial"/>
                <w:bCs/>
                <w:szCs w:val="24"/>
              </w:rPr>
            </w:pPr>
            <w:r w:rsidRPr="00DF3CD1">
              <w:rPr>
                <w:rFonts w:cs="Arial"/>
                <w:bCs/>
                <w:szCs w:val="24"/>
              </w:rPr>
              <w:t>Does the policy/service impact on the following?</w:t>
            </w:r>
          </w:p>
        </w:tc>
        <w:tc>
          <w:tcPr>
            <w:tcW w:w="2316" w:type="dxa"/>
          </w:tcPr>
          <w:p w:rsidR="008C7800" w:rsidRPr="00DF3CD1" w:rsidRDefault="008C7800" w:rsidP="007C3337">
            <w:pPr>
              <w:keepNext/>
              <w:keepLines/>
              <w:spacing w:line="240" w:lineRule="auto"/>
              <w:jc w:val="center"/>
              <w:outlineLvl w:val="0"/>
              <w:rPr>
                <w:rFonts w:cs="Arial"/>
                <w:b/>
                <w:bCs/>
                <w:szCs w:val="24"/>
              </w:rPr>
            </w:pPr>
          </w:p>
        </w:tc>
        <w:tc>
          <w:tcPr>
            <w:tcW w:w="2316" w:type="dxa"/>
          </w:tcPr>
          <w:p w:rsidR="008C7800" w:rsidRPr="00DF3CD1" w:rsidRDefault="008C7800" w:rsidP="007C3337">
            <w:pPr>
              <w:keepNext/>
              <w:keepLines/>
              <w:spacing w:line="240" w:lineRule="auto"/>
              <w:jc w:val="center"/>
              <w:outlineLvl w:val="0"/>
              <w:rPr>
                <w:rFonts w:cs="Arial"/>
                <w:b/>
                <w:bCs/>
                <w:szCs w:val="24"/>
              </w:rPr>
            </w:pP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Age</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trHeight w:val="137"/>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Disability</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trHeight w:val="182"/>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Race</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Gender/ Transgender</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Sexual Orientation</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Religion or belief</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Human Rights</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Social exclusion</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r w:rsidRPr="00DF3CD1">
              <w:rPr>
                <w:rFonts w:cs="Arial"/>
                <w:bCs/>
                <w:szCs w:val="24"/>
              </w:rPr>
              <w:t>Health inequalities</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r w:rsidR="008C7800" w:rsidRPr="00DF3CD1" w:rsidTr="007C3337">
        <w:trPr>
          <w:jc w:val="center"/>
        </w:trPr>
        <w:tc>
          <w:tcPr>
            <w:tcW w:w="4585" w:type="dxa"/>
          </w:tcPr>
          <w:p w:rsidR="008C7800" w:rsidRPr="00DF3CD1" w:rsidRDefault="008C7800" w:rsidP="007C3337">
            <w:pPr>
              <w:keepNext/>
              <w:keepLines/>
              <w:spacing w:line="240" w:lineRule="auto"/>
              <w:outlineLvl w:val="0"/>
              <w:rPr>
                <w:rFonts w:cs="Arial"/>
                <w:bCs/>
                <w:szCs w:val="24"/>
              </w:rPr>
            </w:pPr>
            <w:proofErr w:type="spellStart"/>
            <w:r w:rsidRPr="00DF3CD1">
              <w:rPr>
                <w:rFonts w:cs="Arial"/>
                <w:bCs/>
                <w:szCs w:val="24"/>
              </w:rPr>
              <w:t>Rurality</w:t>
            </w:r>
            <w:proofErr w:type="spellEnd"/>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No</w:t>
            </w:r>
          </w:p>
        </w:tc>
        <w:tc>
          <w:tcPr>
            <w:tcW w:w="2316" w:type="dxa"/>
          </w:tcPr>
          <w:p w:rsidR="008C7800" w:rsidRPr="00DF3CD1" w:rsidRDefault="008C7800" w:rsidP="007C3337">
            <w:pPr>
              <w:keepNext/>
              <w:keepLines/>
              <w:spacing w:line="240" w:lineRule="auto"/>
              <w:jc w:val="center"/>
              <w:outlineLvl w:val="0"/>
              <w:rPr>
                <w:rFonts w:cs="Arial"/>
                <w:b/>
                <w:bCs/>
                <w:szCs w:val="24"/>
              </w:rPr>
            </w:pPr>
            <w:r>
              <w:rPr>
                <w:rFonts w:cs="Arial"/>
                <w:b/>
                <w:bCs/>
                <w:szCs w:val="24"/>
              </w:rPr>
              <w:t>N/A</w:t>
            </w:r>
          </w:p>
        </w:tc>
      </w:tr>
    </w:tbl>
    <w:p w:rsidR="008C7800" w:rsidRPr="008C7800" w:rsidRDefault="008C7800" w:rsidP="008C7800">
      <w:pPr>
        <w:pStyle w:val="ListParagraph"/>
        <w:ind w:left="360" w:right="-431"/>
        <w:rPr>
          <w:szCs w:val="24"/>
        </w:rPr>
      </w:pPr>
    </w:p>
    <w:p w:rsidR="008C7800" w:rsidRPr="008C7800" w:rsidRDefault="008C7800" w:rsidP="008C7800">
      <w:pPr>
        <w:pStyle w:val="ListParagraph"/>
        <w:ind w:left="360" w:right="-431"/>
        <w:rPr>
          <w:b/>
          <w:szCs w:val="24"/>
        </w:rPr>
      </w:pPr>
      <w:r w:rsidRPr="008C7800">
        <w:rPr>
          <w:b/>
          <w:szCs w:val="24"/>
        </w:rPr>
        <w:t>If you consider there is either no impact or no negative impact, please give reasons:</w:t>
      </w:r>
    </w:p>
    <w:p w:rsidR="008C7800" w:rsidRPr="008C7800" w:rsidRDefault="008C7800" w:rsidP="008C7800">
      <w:pPr>
        <w:pStyle w:val="ListParagraph"/>
        <w:ind w:left="360" w:right="-431"/>
        <w:rPr>
          <w:sz w:val="16"/>
          <w:szCs w:val="16"/>
        </w:rPr>
      </w:pPr>
    </w:p>
    <w:p w:rsidR="008C7800" w:rsidRPr="008C7800" w:rsidRDefault="008C7800" w:rsidP="008C7800">
      <w:pPr>
        <w:pStyle w:val="ListParagraph"/>
        <w:ind w:left="360" w:right="-431"/>
        <w:rPr>
          <w:b/>
          <w:szCs w:val="24"/>
        </w:rPr>
      </w:pPr>
      <w:r w:rsidRPr="008C7800">
        <w:rPr>
          <w:szCs w:val="24"/>
        </w:rPr>
        <w:t xml:space="preserve">This report </w:t>
      </w:r>
      <w:r>
        <w:rPr>
          <w:szCs w:val="24"/>
        </w:rPr>
        <w:t>provides an overview of the Council’s overall budgetary</w:t>
      </w:r>
      <w:r w:rsidRPr="008C7800">
        <w:rPr>
          <w:szCs w:val="24"/>
        </w:rPr>
        <w:t xml:space="preserve"> </w:t>
      </w:r>
      <w:r>
        <w:rPr>
          <w:szCs w:val="24"/>
        </w:rPr>
        <w:t xml:space="preserve">position for the period April to June 2010 for </w:t>
      </w:r>
      <w:r w:rsidRPr="008C7800">
        <w:rPr>
          <w:szCs w:val="24"/>
        </w:rPr>
        <w:t xml:space="preserve">revenue </w:t>
      </w:r>
      <w:r>
        <w:rPr>
          <w:szCs w:val="24"/>
        </w:rPr>
        <w:t>schemes</w:t>
      </w:r>
      <w:r w:rsidRPr="008C7800">
        <w:rPr>
          <w:szCs w:val="24"/>
        </w:rPr>
        <w:t xml:space="preserve"> and gives reasons for variances and has no direct impact on the above. </w:t>
      </w:r>
    </w:p>
    <w:p w:rsidR="00BA6AD1" w:rsidRDefault="00BA6AD1"/>
    <w:p w:rsidR="00002149" w:rsidRDefault="00002149"/>
    <w:p w:rsidR="00BA6AD1" w:rsidRDefault="006D5B66">
      <w:pPr>
        <w:jc w:val="center"/>
      </w:pPr>
      <w:r>
        <w:t>P</w:t>
      </w:r>
      <w:r w:rsidR="00096875">
        <w:t>E</w:t>
      </w:r>
      <w:r>
        <w:t>TER</w:t>
      </w:r>
      <w:r w:rsidR="00096875">
        <w:t xml:space="preserve"> </w:t>
      </w:r>
      <w:r>
        <w:t>MASO</w:t>
      </w:r>
      <w:r w:rsidR="00096875">
        <w:t>N</w:t>
      </w:r>
    </w:p>
    <w:p w:rsidR="00BA6AD1" w:rsidRDefault="006D5B66">
      <w:pPr>
        <w:jc w:val="center"/>
        <w:rPr>
          <w:u w:val="single"/>
        </w:rPr>
      </w:pPr>
      <w:r>
        <w:rPr>
          <w:u w:val="single"/>
        </w:rPr>
        <w:t>Assistant D</w:t>
      </w:r>
      <w:r w:rsidR="00096875">
        <w:rPr>
          <w:u w:val="single"/>
        </w:rPr>
        <w:t xml:space="preserve">irector </w:t>
      </w:r>
      <w:r w:rsidR="001F03EB">
        <w:rPr>
          <w:u w:val="single"/>
        </w:rPr>
        <w:t>[</w:t>
      </w:r>
      <w:r>
        <w:rPr>
          <w:u w:val="single"/>
        </w:rPr>
        <w:t>Resour</w:t>
      </w:r>
      <w:r w:rsidR="00096875">
        <w:rPr>
          <w:u w:val="single"/>
        </w:rPr>
        <w:t>ces</w:t>
      </w:r>
      <w:r w:rsidR="001F03EB">
        <w:rPr>
          <w:u w:val="single"/>
        </w:rPr>
        <w:t>]</w:t>
      </w:r>
    </w:p>
    <w:p w:rsidR="00BA6AD1" w:rsidRDefault="00BA6AD1">
      <w:pPr>
        <w:rPr>
          <w:u w:val="single"/>
        </w:rPr>
      </w:pPr>
    </w:p>
    <w:p w:rsidR="00BA6AD1" w:rsidRDefault="00BA6AD1">
      <w:pPr>
        <w:rPr>
          <w:u w:val="single"/>
        </w:rPr>
      </w:pPr>
    </w:p>
    <w:p w:rsidR="00BA6AD1" w:rsidRDefault="00BA6AD1">
      <w:pPr>
        <w:rPr>
          <w:u w:val="single"/>
        </w:rPr>
      </w:pPr>
    </w:p>
    <w:p w:rsidR="00BA6AD1" w:rsidRDefault="00BA6AD1">
      <w:r>
        <w:rPr>
          <w:u w:val="single"/>
        </w:rPr>
        <w:t>Contact Officer:</w:t>
      </w:r>
      <w:r>
        <w:t xml:space="preserve"> </w:t>
      </w:r>
      <w:r>
        <w:tab/>
        <w:t>Maureen McCartney</w:t>
      </w:r>
      <w:r>
        <w:tab/>
      </w:r>
      <w:r>
        <w:tab/>
      </w:r>
      <w:r>
        <w:tab/>
      </w:r>
      <w:r>
        <w:tab/>
      </w:r>
      <w:r>
        <w:rPr>
          <w:u w:val="single"/>
        </w:rPr>
        <w:t>Ext:</w:t>
      </w:r>
      <w:r>
        <w:tab/>
        <w:t>7291</w:t>
      </w:r>
    </w:p>
    <w:sectPr w:rsidR="00BA6AD1" w:rsidSect="002C269F">
      <w:footerReference w:type="default" r:id="rId9"/>
      <w:type w:val="continuous"/>
      <w:pgSz w:w="11906" w:h="16838"/>
      <w:pgMar w:top="964" w:right="991" w:bottom="1440" w:left="1134" w:header="720" w:footer="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70" w:rsidRDefault="00B55570">
      <w:pPr>
        <w:spacing w:line="240" w:lineRule="auto"/>
      </w:pPr>
      <w:r>
        <w:separator/>
      </w:r>
    </w:p>
  </w:endnote>
  <w:endnote w:type="continuationSeparator" w:id="0">
    <w:p w:rsidR="00B55570" w:rsidRDefault="00B555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B55570">
      <w:tc>
        <w:tcPr>
          <w:tcW w:w="9286" w:type="dxa"/>
        </w:tcPr>
        <w:p w:rsidR="00B55570" w:rsidRDefault="000C38B2">
          <w:pPr>
            <w:pStyle w:val="Footer"/>
            <w:spacing w:line="240" w:lineRule="auto"/>
            <w:rPr>
              <w:rFonts w:ascii="Tahoma" w:hAnsi="Tahoma"/>
              <w:b/>
              <w:sz w:val="18"/>
            </w:rPr>
          </w:pPr>
          <w:r>
            <w:rPr>
              <w:rFonts w:ascii="Tahoma" w:hAnsi="Tahoma"/>
              <w:b/>
              <w:sz w:val="18"/>
            </w:rPr>
            <w:fldChar w:fldCharType="begin"/>
          </w:r>
          <w:r w:rsidR="00B55570">
            <w:rPr>
              <w:rFonts w:ascii="Tahoma" w:hAnsi="Tahoma"/>
              <w:b/>
              <w:sz w:val="18"/>
            </w:rPr>
            <w:instrText xml:space="preserve"> IF </w:instrText>
          </w:r>
          <w:r>
            <w:rPr>
              <w:rFonts w:ascii="Tahoma" w:hAnsi="Tahoma"/>
              <w:b/>
              <w:sz w:val="18"/>
            </w:rPr>
            <w:fldChar w:fldCharType="begin"/>
          </w:r>
          <w:r w:rsidR="00B55570">
            <w:rPr>
              <w:rFonts w:ascii="Tahoma" w:hAnsi="Tahoma"/>
              <w:b/>
              <w:sz w:val="18"/>
            </w:rPr>
            <w:instrText xml:space="preserve"> PAGE  \* MERGEFORMAT </w:instrText>
          </w:r>
          <w:r>
            <w:rPr>
              <w:rFonts w:ascii="Tahoma" w:hAnsi="Tahoma"/>
              <w:b/>
              <w:sz w:val="18"/>
            </w:rPr>
            <w:fldChar w:fldCharType="separate"/>
          </w:r>
          <w:r w:rsidR="006129F3">
            <w:rPr>
              <w:rFonts w:ascii="Tahoma" w:hAnsi="Tahoma"/>
              <w:b/>
              <w:noProof/>
              <w:sz w:val="18"/>
            </w:rPr>
            <w:instrText>11</w:instrText>
          </w:r>
          <w:r>
            <w:rPr>
              <w:rFonts w:ascii="Tahoma" w:hAnsi="Tahoma"/>
              <w:b/>
              <w:sz w:val="18"/>
            </w:rPr>
            <w:fldChar w:fldCharType="end"/>
          </w:r>
          <w:r w:rsidR="00B55570">
            <w:rPr>
              <w:rFonts w:ascii="Tahoma" w:hAnsi="Tahoma"/>
              <w:b/>
              <w:sz w:val="18"/>
            </w:rPr>
            <w:instrText xml:space="preserve"> = 1 "Note: in compliance with section 100d of the Local Government (Access to Information) Act 1985 the report has been prepared in part from the following papers: None" \* MERGEFORMAT </w:instrText>
          </w:r>
          <w:r>
            <w:rPr>
              <w:rFonts w:ascii="Tahoma" w:hAnsi="Tahoma"/>
              <w:b/>
              <w:sz w:val="18"/>
            </w:rPr>
            <w:fldChar w:fldCharType="end"/>
          </w:r>
        </w:p>
      </w:tc>
    </w:tr>
    <w:tr w:rsidR="00B55570">
      <w:tc>
        <w:tcPr>
          <w:tcW w:w="9286" w:type="dxa"/>
        </w:tcPr>
        <w:p w:rsidR="00B55570" w:rsidRDefault="00B55570">
          <w:pPr>
            <w:pStyle w:val="Footer"/>
            <w:spacing w:line="240" w:lineRule="auto"/>
            <w:jc w:val="center"/>
            <w:rPr>
              <w:rFonts w:ascii="Tahoma" w:hAnsi="Tahoma"/>
            </w:rPr>
          </w:pPr>
        </w:p>
        <w:p w:rsidR="00B55570" w:rsidRDefault="000C38B2">
          <w:pPr>
            <w:pStyle w:val="Footer"/>
            <w:spacing w:line="240" w:lineRule="auto"/>
            <w:jc w:val="center"/>
            <w:rPr>
              <w:rFonts w:ascii="Tahoma" w:hAnsi="Tahoma"/>
            </w:rPr>
          </w:pPr>
          <w:r>
            <w:rPr>
              <w:rFonts w:ascii="Tahoma" w:hAnsi="Tahoma"/>
              <w:b/>
              <w:sz w:val="20"/>
            </w:rPr>
            <w:fldChar w:fldCharType="begin"/>
          </w:r>
          <w:r w:rsidR="00B55570">
            <w:rPr>
              <w:rFonts w:ascii="Tahoma" w:hAnsi="Tahoma"/>
              <w:b/>
              <w:sz w:val="20"/>
            </w:rPr>
            <w:instrText xml:space="preserve"> PAGE  \* MERGEFORMAT </w:instrText>
          </w:r>
          <w:r>
            <w:rPr>
              <w:rFonts w:ascii="Tahoma" w:hAnsi="Tahoma"/>
              <w:b/>
              <w:sz w:val="20"/>
            </w:rPr>
            <w:fldChar w:fldCharType="separate"/>
          </w:r>
          <w:r w:rsidR="006129F3">
            <w:rPr>
              <w:rFonts w:ascii="Tahoma" w:hAnsi="Tahoma"/>
              <w:b/>
              <w:noProof/>
              <w:sz w:val="20"/>
            </w:rPr>
            <w:t>11</w:t>
          </w:r>
          <w:r>
            <w:rPr>
              <w:rFonts w:ascii="Tahoma" w:hAnsi="Tahoma"/>
              <w:b/>
              <w:sz w:val="20"/>
            </w:rPr>
            <w:fldChar w:fldCharType="end"/>
          </w:r>
        </w:p>
      </w:tc>
    </w:tr>
  </w:tbl>
  <w:p w:rsidR="00B55570" w:rsidRDefault="00B55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70" w:rsidRDefault="00B55570">
      <w:pPr>
        <w:spacing w:line="240" w:lineRule="auto"/>
      </w:pPr>
      <w:r>
        <w:separator/>
      </w:r>
    </w:p>
  </w:footnote>
  <w:footnote w:type="continuationSeparator" w:id="0">
    <w:p w:rsidR="00B55570" w:rsidRDefault="00B555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3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550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F0F7513"/>
    <w:multiLevelType w:val="singleLevel"/>
    <w:tmpl w:val="08090001"/>
    <w:lvl w:ilvl="0">
      <w:start w:val="1"/>
      <w:numFmt w:val="bullet"/>
      <w:lvlText w:val=""/>
      <w:lvlJc w:val="left"/>
      <w:pPr>
        <w:ind w:left="720" w:hanging="360"/>
      </w:pPr>
      <w:rPr>
        <w:rFonts w:ascii="Symbol" w:hAnsi="Symbol" w:hint="default"/>
      </w:rPr>
    </w:lvl>
  </w:abstractNum>
  <w:abstractNum w:abstractNumId="3">
    <w:nsid w:val="115406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1D66DA5"/>
    <w:multiLevelType w:val="singleLevel"/>
    <w:tmpl w:val="4CCC9324"/>
    <w:lvl w:ilvl="0">
      <w:start w:val="1"/>
      <w:numFmt w:val="lowerRoman"/>
      <w:lvlText w:val="(%1)"/>
      <w:lvlJc w:val="left"/>
      <w:pPr>
        <w:tabs>
          <w:tab w:val="num" w:pos="720"/>
        </w:tabs>
        <w:ind w:left="720" w:hanging="720"/>
      </w:pPr>
      <w:rPr>
        <w:rFonts w:hint="default"/>
      </w:rPr>
    </w:lvl>
  </w:abstractNum>
  <w:abstractNum w:abstractNumId="5">
    <w:nsid w:val="18E00C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A904532"/>
    <w:multiLevelType w:val="singleLevel"/>
    <w:tmpl w:val="08090001"/>
    <w:lvl w:ilvl="0">
      <w:start w:val="1"/>
      <w:numFmt w:val="bullet"/>
      <w:lvlText w:val=""/>
      <w:lvlJc w:val="left"/>
      <w:pPr>
        <w:ind w:left="927" w:hanging="360"/>
      </w:pPr>
      <w:rPr>
        <w:rFonts w:ascii="Symbol" w:hAnsi="Symbol" w:hint="default"/>
      </w:rPr>
    </w:lvl>
  </w:abstractNum>
  <w:abstractNum w:abstractNumId="7">
    <w:nsid w:val="1AD504C4"/>
    <w:multiLevelType w:val="multilevel"/>
    <w:tmpl w:val="344C9FBC"/>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5F6E66"/>
    <w:multiLevelType w:val="multilevel"/>
    <w:tmpl w:val="11BCB47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957F5C"/>
    <w:multiLevelType w:val="multilevel"/>
    <w:tmpl w:val="60A8604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9A59F3"/>
    <w:multiLevelType w:val="singleLevel"/>
    <w:tmpl w:val="1AA69A9C"/>
    <w:lvl w:ilvl="0">
      <w:numFmt w:val="bullet"/>
      <w:lvlText w:val="-"/>
      <w:lvlJc w:val="left"/>
      <w:pPr>
        <w:tabs>
          <w:tab w:val="num" w:pos="1065"/>
        </w:tabs>
        <w:ind w:left="1065" w:hanging="360"/>
      </w:pPr>
      <w:rPr>
        <w:rFonts w:ascii="Times New Roman" w:hAnsi="Times New Roman" w:hint="default"/>
      </w:rPr>
    </w:lvl>
  </w:abstractNum>
  <w:abstractNum w:abstractNumId="11">
    <w:nsid w:val="2F7D1D6C"/>
    <w:multiLevelType w:val="hybridMultilevel"/>
    <w:tmpl w:val="715899B0"/>
    <w:lvl w:ilvl="0" w:tplc="08090001">
      <w:start w:val="1"/>
      <w:numFmt w:val="bullet"/>
      <w:lvlText w:val=""/>
      <w:lvlJc w:val="left"/>
      <w:pPr>
        <w:ind w:left="1065" w:hanging="360"/>
      </w:pPr>
      <w:rPr>
        <w:rFonts w:ascii="Symbol" w:hAnsi="Symbol" w:hint="default"/>
      </w:rPr>
    </w:lvl>
    <w:lvl w:ilvl="1" w:tplc="6C18488A">
      <w:numFmt w:val="bullet"/>
      <w:lvlText w:val="-"/>
      <w:lvlJc w:val="left"/>
      <w:pPr>
        <w:ind w:left="1785" w:hanging="360"/>
      </w:pPr>
      <w:rPr>
        <w:rFonts w:ascii="Arial" w:eastAsia="Times New Roman" w:hAnsi="Arial" w:cs="Aria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nsid w:val="343A65AD"/>
    <w:multiLevelType w:val="singleLevel"/>
    <w:tmpl w:val="08090001"/>
    <w:lvl w:ilvl="0">
      <w:start w:val="1"/>
      <w:numFmt w:val="bullet"/>
      <w:lvlText w:val=""/>
      <w:lvlJc w:val="left"/>
      <w:pPr>
        <w:ind w:left="1065" w:hanging="360"/>
      </w:pPr>
      <w:rPr>
        <w:rFonts w:ascii="Symbol" w:hAnsi="Symbol" w:hint="default"/>
      </w:rPr>
    </w:lvl>
  </w:abstractNum>
  <w:abstractNum w:abstractNumId="13">
    <w:nsid w:val="34A26CA4"/>
    <w:multiLevelType w:val="singleLevel"/>
    <w:tmpl w:val="319237D0"/>
    <w:lvl w:ilvl="0">
      <w:start w:val="4"/>
      <w:numFmt w:val="lowerRoman"/>
      <w:lvlText w:val=""/>
      <w:lvlJc w:val="left"/>
      <w:pPr>
        <w:tabs>
          <w:tab w:val="num" w:pos="360"/>
        </w:tabs>
        <w:ind w:left="360" w:hanging="360"/>
      </w:pPr>
      <w:rPr>
        <w:rFonts w:ascii="Times New Roman" w:hAnsi="Times New Roman" w:hint="default"/>
      </w:rPr>
    </w:lvl>
  </w:abstractNum>
  <w:abstractNum w:abstractNumId="14">
    <w:nsid w:val="38294D90"/>
    <w:multiLevelType w:val="singleLevel"/>
    <w:tmpl w:val="803AD65E"/>
    <w:lvl w:ilvl="0">
      <w:numFmt w:val="bullet"/>
      <w:lvlText w:val="-"/>
      <w:lvlJc w:val="left"/>
      <w:pPr>
        <w:tabs>
          <w:tab w:val="num" w:pos="1080"/>
        </w:tabs>
        <w:ind w:left="1080" w:hanging="360"/>
      </w:pPr>
      <w:rPr>
        <w:rFonts w:hint="default"/>
      </w:rPr>
    </w:lvl>
  </w:abstractNum>
  <w:abstractNum w:abstractNumId="15">
    <w:nsid w:val="384A2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8EB4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BA91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1A803B5"/>
    <w:multiLevelType w:val="hybridMultilevel"/>
    <w:tmpl w:val="7EF025C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20">
    <w:nsid w:val="47D87906"/>
    <w:multiLevelType w:val="multilevel"/>
    <w:tmpl w:val="1E447864"/>
    <w:lvl w:ilvl="0">
      <w:start w:val="1"/>
      <w:numFmt w:val="decimal"/>
      <w:lvlText w:val="%1."/>
      <w:lvlJc w:val="left"/>
      <w:pPr>
        <w:tabs>
          <w:tab w:val="num" w:pos="703"/>
        </w:tabs>
        <w:ind w:left="703" w:hanging="703"/>
      </w:pPr>
      <w:rPr>
        <w:b/>
        <w:i w:val="0"/>
      </w:rPr>
    </w:lvl>
    <w:lvl w:ilvl="1">
      <w:start w:val="3"/>
      <w:numFmt w:val="decimal"/>
      <w:isLgl/>
      <w:lvlText w:val="%1.%2"/>
      <w:lvlJc w:val="left"/>
      <w:pPr>
        <w:tabs>
          <w:tab w:val="num" w:pos="705"/>
        </w:tabs>
        <w:ind w:left="705" w:hanging="705"/>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1">
    <w:nsid w:val="4AAB54B7"/>
    <w:multiLevelType w:val="singleLevel"/>
    <w:tmpl w:val="08090001"/>
    <w:lvl w:ilvl="0">
      <w:start w:val="1"/>
      <w:numFmt w:val="bullet"/>
      <w:lvlText w:val=""/>
      <w:lvlJc w:val="left"/>
      <w:pPr>
        <w:ind w:left="720" w:hanging="360"/>
      </w:pPr>
      <w:rPr>
        <w:rFonts w:ascii="Symbol" w:hAnsi="Symbol" w:hint="default"/>
      </w:rPr>
    </w:lvl>
  </w:abstractNum>
  <w:abstractNum w:abstractNumId="22">
    <w:nsid w:val="4D254A73"/>
    <w:multiLevelType w:val="singleLevel"/>
    <w:tmpl w:val="BFCA422E"/>
    <w:lvl w:ilvl="0">
      <w:start w:val="1"/>
      <w:numFmt w:val="lowerRoman"/>
      <w:lvlText w:val="(%1)"/>
      <w:lvlJc w:val="left"/>
      <w:pPr>
        <w:tabs>
          <w:tab w:val="num" w:pos="720"/>
        </w:tabs>
        <w:ind w:left="720" w:hanging="720"/>
      </w:pPr>
      <w:rPr>
        <w:rFonts w:hint="default"/>
      </w:rPr>
    </w:lvl>
  </w:abstractNum>
  <w:abstractNum w:abstractNumId="23">
    <w:nsid w:val="523B66C5"/>
    <w:multiLevelType w:val="singleLevel"/>
    <w:tmpl w:val="08090001"/>
    <w:lvl w:ilvl="0">
      <w:start w:val="1"/>
      <w:numFmt w:val="bullet"/>
      <w:lvlText w:val=""/>
      <w:lvlJc w:val="left"/>
      <w:pPr>
        <w:ind w:left="720" w:hanging="360"/>
      </w:pPr>
      <w:rPr>
        <w:rFonts w:ascii="Symbol" w:hAnsi="Symbol" w:hint="default"/>
      </w:rPr>
    </w:lvl>
  </w:abstractNum>
  <w:abstractNum w:abstractNumId="24">
    <w:nsid w:val="537D2AD2"/>
    <w:multiLevelType w:val="hybridMultilevel"/>
    <w:tmpl w:val="2FF2B660"/>
    <w:lvl w:ilvl="0" w:tplc="0D62B05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585F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FF57EA9"/>
    <w:multiLevelType w:val="multilevel"/>
    <w:tmpl w:val="C9D6A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4E32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501118A"/>
    <w:multiLevelType w:val="hybridMultilevel"/>
    <w:tmpl w:val="0B785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AF6873"/>
    <w:multiLevelType w:val="multilevel"/>
    <w:tmpl w:val="B276C89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220E79"/>
    <w:multiLevelType w:val="multilevel"/>
    <w:tmpl w:val="D228C9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855DB6"/>
    <w:multiLevelType w:val="multilevel"/>
    <w:tmpl w:val="CA8E557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49B2EA4"/>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33">
    <w:nsid w:val="78702242"/>
    <w:multiLevelType w:val="multilevel"/>
    <w:tmpl w:val="10AE1EA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7B577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32"/>
  </w:num>
  <w:num w:numId="4">
    <w:abstractNumId w:val="22"/>
  </w:num>
  <w:num w:numId="5">
    <w:abstractNumId w:val="30"/>
  </w:num>
  <w:num w:numId="6">
    <w:abstractNumId w:val="33"/>
  </w:num>
  <w:num w:numId="7">
    <w:abstractNumId w:val="4"/>
  </w:num>
  <w:num w:numId="8">
    <w:abstractNumId w:val="20"/>
    <w:lvlOverride w:ilvl="0">
      <w:startOverride w:val="4"/>
    </w:lvlOverride>
  </w:num>
  <w:num w:numId="9">
    <w:abstractNumId w:val="29"/>
  </w:num>
  <w:num w:numId="10">
    <w:abstractNumId w:val="13"/>
  </w:num>
  <w:num w:numId="11">
    <w:abstractNumId w:val="14"/>
  </w:num>
  <w:num w:numId="12">
    <w:abstractNumId w:val="12"/>
  </w:num>
  <w:num w:numId="13">
    <w:abstractNumId w:val="26"/>
  </w:num>
  <w:num w:numId="14">
    <w:abstractNumId w:val="10"/>
  </w:num>
  <w:num w:numId="15">
    <w:abstractNumId w:val="2"/>
  </w:num>
  <w:num w:numId="16">
    <w:abstractNumId w:val="0"/>
  </w:num>
  <w:num w:numId="17">
    <w:abstractNumId w:val="9"/>
  </w:num>
  <w:num w:numId="18">
    <w:abstractNumId w:val="16"/>
  </w:num>
  <w:num w:numId="19">
    <w:abstractNumId w:val="23"/>
  </w:num>
  <w:num w:numId="20">
    <w:abstractNumId w:val="20"/>
    <w:lvlOverride w:ilvl="0">
      <w:startOverride w:val="7"/>
    </w:lvlOverride>
  </w:num>
  <w:num w:numId="21">
    <w:abstractNumId w:val="20"/>
    <w:lvlOverride w:ilvl="0">
      <w:startOverride w:val="10"/>
    </w:lvlOverride>
  </w:num>
  <w:num w:numId="22">
    <w:abstractNumId w:val="7"/>
  </w:num>
  <w:num w:numId="23">
    <w:abstractNumId w:val="34"/>
  </w:num>
  <w:num w:numId="24">
    <w:abstractNumId w:val="1"/>
  </w:num>
  <w:num w:numId="25">
    <w:abstractNumId w:val="3"/>
  </w:num>
  <w:num w:numId="26">
    <w:abstractNumId w:val="17"/>
  </w:num>
  <w:num w:numId="27">
    <w:abstractNumId w:val="25"/>
  </w:num>
  <w:num w:numId="28">
    <w:abstractNumId w:val="6"/>
  </w:num>
  <w:num w:numId="29">
    <w:abstractNumId w:val="27"/>
  </w:num>
  <w:num w:numId="30">
    <w:abstractNumId w:val="5"/>
  </w:num>
  <w:num w:numId="31">
    <w:abstractNumId w:val="21"/>
  </w:num>
  <w:num w:numId="32">
    <w:abstractNumId w:val="15"/>
  </w:num>
  <w:num w:numId="33">
    <w:abstractNumId w:val="8"/>
  </w:num>
  <w:num w:numId="34">
    <w:abstractNumId w:val="31"/>
  </w:num>
  <w:num w:numId="35">
    <w:abstractNumId w:val="18"/>
  </w:num>
  <w:num w:numId="36">
    <w:abstractNumId w:val="28"/>
  </w:num>
  <w:num w:numId="37">
    <w:abstractNumId w:val="11"/>
  </w:num>
  <w:num w:numId="38">
    <w:abstractNumId w:val="24"/>
  </w:num>
  <w:num w:numId="39">
    <w:abstractNumId w:val="20"/>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rsids>
    <w:rsidRoot w:val="00F97FC0"/>
    <w:rsid w:val="00002149"/>
    <w:rsid w:val="000355F1"/>
    <w:rsid w:val="00042B3B"/>
    <w:rsid w:val="0006590C"/>
    <w:rsid w:val="0008211F"/>
    <w:rsid w:val="00083E44"/>
    <w:rsid w:val="0008444A"/>
    <w:rsid w:val="00084876"/>
    <w:rsid w:val="00096875"/>
    <w:rsid w:val="00096FB5"/>
    <w:rsid w:val="000A0D18"/>
    <w:rsid w:val="000A5788"/>
    <w:rsid w:val="000C38B2"/>
    <w:rsid w:val="000C793B"/>
    <w:rsid w:val="000D403F"/>
    <w:rsid w:val="000D5EA0"/>
    <w:rsid w:val="000F4E31"/>
    <w:rsid w:val="00100158"/>
    <w:rsid w:val="00117010"/>
    <w:rsid w:val="00127E52"/>
    <w:rsid w:val="00163438"/>
    <w:rsid w:val="001654BC"/>
    <w:rsid w:val="00170945"/>
    <w:rsid w:val="00170D29"/>
    <w:rsid w:val="00193441"/>
    <w:rsid w:val="001A48C1"/>
    <w:rsid w:val="001B05E4"/>
    <w:rsid w:val="001B4D6E"/>
    <w:rsid w:val="001D5960"/>
    <w:rsid w:val="001D7220"/>
    <w:rsid w:val="001E0418"/>
    <w:rsid w:val="001E446B"/>
    <w:rsid w:val="001F03EB"/>
    <w:rsid w:val="00201AA6"/>
    <w:rsid w:val="00202059"/>
    <w:rsid w:val="00222061"/>
    <w:rsid w:val="0022398C"/>
    <w:rsid w:val="002255AA"/>
    <w:rsid w:val="00225BBB"/>
    <w:rsid w:val="00226014"/>
    <w:rsid w:val="00227543"/>
    <w:rsid w:val="002319C0"/>
    <w:rsid w:val="00231D84"/>
    <w:rsid w:val="00232638"/>
    <w:rsid w:val="00240E1C"/>
    <w:rsid w:val="0025377F"/>
    <w:rsid w:val="002548CB"/>
    <w:rsid w:val="00255F22"/>
    <w:rsid w:val="00267E1E"/>
    <w:rsid w:val="00283C5C"/>
    <w:rsid w:val="00292680"/>
    <w:rsid w:val="00297F30"/>
    <w:rsid w:val="002B4CC6"/>
    <w:rsid w:val="002C269F"/>
    <w:rsid w:val="002E7DD2"/>
    <w:rsid w:val="00314D1D"/>
    <w:rsid w:val="00314D9A"/>
    <w:rsid w:val="0031500F"/>
    <w:rsid w:val="00317D47"/>
    <w:rsid w:val="00322655"/>
    <w:rsid w:val="003337F7"/>
    <w:rsid w:val="00346924"/>
    <w:rsid w:val="00356B95"/>
    <w:rsid w:val="00371E2E"/>
    <w:rsid w:val="00381294"/>
    <w:rsid w:val="003A4AAB"/>
    <w:rsid w:val="003E2461"/>
    <w:rsid w:val="003E4D70"/>
    <w:rsid w:val="004003AD"/>
    <w:rsid w:val="004067CC"/>
    <w:rsid w:val="004308C8"/>
    <w:rsid w:val="00432B91"/>
    <w:rsid w:val="00450109"/>
    <w:rsid w:val="004778C0"/>
    <w:rsid w:val="004839EC"/>
    <w:rsid w:val="00486D77"/>
    <w:rsid w:val="00490F0C"/>
    <w:rsid w:val="00493E55"/>
    <w:rsid w:val="004D30D8"/>
    <w:rsid w:val="004E159F"/>
    <w:rsid w:val="004F2239"/>
    <w:rsid w:val="004F22DF"/>
    <w:rsid w:val="0052080A"/>
    <w:rsid w:val="00520EBB"/>
    <w:rsid w:val="00527A85"/>
    <w:rsid w:val="00532202"/>
    <w:rsid w:val="005322CC"/>
    <w:rsid w:val="00532F3D"/>
    <w:rsid w:val="00535C9F"/>
    <w:rsid w:val="00552C74"/>
    <w:rsid w:val="00574D76"/>
    <w:rsid w:val="0059233D"/>
    <w:rsid w:val="00594B4B"/>
    <w:rsid w:val="005A2F90"/>
    <w:rsid w:val="005B0E90"/>
    <w:rsid w:val="005D2D56"/>
    <w:rsid w:val="005E296C"/>
    <w:rsid w:val="005E391D"/>
    <w:rsid w:val="005E6086"/>
    <w:rsid w:val="005F0908"/>
    <w:rsid w:val="005F2DD6"/>
    <w:rsid w:val="006071F5"/>
    <w:rsid w:val="006129F3"/>
    <w:rsid w:val="00647F54"/>
    <w:rsid w:val="0065326A"/>
    <w:rsid w:val="006571E1"/>
    <w:rsid w:val="00663957"/>
    <w:rsid w:val="0066492D"/>
    <w:rsid w:val="00671445"/>
    <w:rsid w:val="00672315"/>
    <w:rsid w:val="006A4A1C"/>
    <w:rsid w:val="006C1CC9"/>
    <w:rsid w:val="006C49B4"/>
    <w:rsid w:val="006C5010"/>
    <w:rsid w:val="006D0003"/>
    <w:rsid w:val="006D3FAA"/>
    <w:rsid w:val="006D5B66"/>
    <w:rsid w:val="006E39F3"/>
    <w:rsid w:val="006F36E3"/>
    <w:rsid w:val="007214BC"/>
    <w:rsid w:val="00736026"/>
    <w:rsid w:val="00743CDB"/>
    <w:rsid w:val="00743D64"/>
    <w:rsid w:val="007460C1"/>
    <w:rsid w:val="007470BB"/>
    <w:rsid w:val="00775AC1"/>
    <w:rsid w:val="00787F78"/>
    <w:rsid w:val="0079620D"/>
    <w:rsid w:val="007C0910"/>
    <w:rsid w:val="007C3337"/>
    <w:rsid w:val="007D4268"/>
    <w:rsid w:val="007D45CB"/>
    <w:rsid w:val="007F4798"/>
    <w:rsid w:val="007F7B1E"/>
    <w:rsid w:val="00802012"/>
    <w:rsid w:val="00814427"/>
    <w:rsid w:val="0086086D"/>
    <w:rsid w:val="00862D4B"/>
    <w:rsid w:val="008701FF"/>
    <w:rsid w:val="008739E1"/>
    <w:rsid w:val="00882069"/>
    <w:rsid w:val="00882802"/>
    <w:rsid w:val="00887751"/>
    <w:rsid w:val="00894EA2"/>
    <w:rsid w:val="008A0FBE"/>
    <w:rsid w:val="008B0127"/>
    <w:rsid w:val="008B775E"/>
    <w:rsid w:val="008C1B11"/>
    <w:rsid w:val="008C34BF"/>
    <w:rsid w:val="008C7042"/>
    <w:rsid w:val="008C7800"/>
    <w:rsid w:val="008E542D"/>
    <w:rsid w:val="00905608"/>
    <w:rsid w:val="009141E9"/>
    <w:rsid w:val="00917C71"/>
    <w:rsid w:val="00922423"/>
    <w:rsid w:val="00922761"/>
    <w:rsid w:val="009330EB"/>
    <w:rsid w:val="00935255"/>
    <w:rsid w:val="00935574"/>
    <w:rsid w:val="009522F5"/>
    <w:rsid w:val="009571DE"/>
    <w:rsid w:val="00972055"/>
    <w:rsid w:val="00974870"/>
    <w:rsid w:val="009758FA"/>
    <w:rsid w:val="00977240"/>
    <w:rsid w:val="00985DD8"/>
    <w:rsid w:val="00986475"/>
    <w:rsid w:val="00987C00"/>
    <w:rsid w:val="00990830"/>
    <w:rsid w:val="009923AD"/>
    <w:rsid w:val="009B0C44"/>
    <w:rsid w:val="009B1361"/>
    <w:rsid w:val="009C2F62"/>
    <w:rsid w:val="009D6D1D"/>
    <w:rsid w:val="009E326D"/>
    <w:rsid w:val="009F3B44"/>
    <w:rsid w:val="00A22861"/>
    <w:rsid w:val="00A259D4"/>
    <w:rsid w:val="00A32076"/>
    <w:rsid w:val="00A3290C"/>
    <w:rsid w:val="00A440B7"/>
    <w:rsid w:val="00A4470B"/>
    <w:rsid w:val="00A447C1"/>
    <w:rsid w:val="00A52870"/>
    <w:rsid w:val="00A67D27"/>
    <w:rsid w:val="00A850F1"/>
    <w:rsid w:val="00A90E40"/>
    <w:rsid w:val="00A91EF8"/>
    <w:rsid w:val="00AA025F"/>
    <w:rsid w:val="00AA3C1F"/>
    <w:rsid w:val="00AB6AF1"/>
    <w:rsid w:val="00AD2BDB"/>
    <w:rsid w:val="00AE143B"/>
    <w:rsid w:val="00AE3ADE"/>
    <w:rsid w:val="00AE553C"/>
    <w:rsid w:val="00AF10C6"/>
    <w:rsid w:val="00B1187D"/>
    <w:rsid w:val="00B2380D"/>
    <w:rsid w:val="00B25C70"/>
    <w:rsid w:val="00B26388"/>
    <w:rsid w:val="00B31847"/>
    <w:rsid w:val="00B43062"/>
    <w:rsid w:val="00B473AD"/>
    <w:rsid w:val="00B501E4"/>
    <w:rsid w:val="00B551FC"/>
    <w:rsid w:val="00B55570"/>
    <w:rsid w:val="00B56490"/>
    <w:rsid w:val="00B73916"/>
    <w:rsid w:val="00B73E73"/>
    <w:rsid w:val="00B805F4"/>
    <w:rsid w:val="00BA0CE0"/>
    <w:rsid w:val="00BA6AD1"/>
    <w:rsid w:val="00BD78E7"/>
    <w:rsid w:val="00BF2851"/>
    <w:rsid w:val="00BF5CF8"/>
    <w:rsid w:val="00C04C33"/>
    <w:rsid w:val="00C05B3D"/>
    <w:rsid w:val="00C12DE1"/>
    <w:rsid w:val="00C156D5"/>
    <w:rsid w:val="00C307AA"/>
    <w:rsid w:val="00C37828"/>
    <w:rsid w:val="00C46295"/>
    <w:rsid w:val="00C67991"/>
    <w:rsid w:val="00C74724"/>
    <w:rsid w:val="00C90D5C"/>
    <w:rsid w:val="00C91540"/>
    <w:rsid w:val="00CA76F1"/>
    <w:rsid w:val="00CB2796"/>
    <w:rsid w:val="00CC2228"/>
    <w:rsid w:val="00CC40E2"/>
    <w:rsid w:val="00CC5349"/>
    <w:rsid w:val="00CE0913"/>
    <w:rsid w:val="00CE51B4"/>
    <w:rsid w:val="00CE7F06"/>
    <w:rsid w:val="00D037E4"/>
    <w:rsid w:val="00D27FFB"/>
    <w:rsid w:val="00D364B9"/>
    <w:rsid w:val="00D42016"/>
    <w:rsid w:val="00D61957"/>
    <w:rsid w:val="00D74D88"/>
    <w:rsid w:val="00D8467B"/>
    <w:rsid w:val="00D913F1"/>
    <w:rsid w:val="00D9727C"/>
    <w:rsid w:val="00DA236D"/>
    <w:rsid w:val="00DC2F04"/>
    <w:rsid w:val="00DD361A"/>
    <w:rsid w:val="00E154EF"/>
    <w:rsid w:val="00E224DD"/>
    <w:rsid w:val="00E27FD1"/>
    <w:rsid w:val="00E31403"/>
    <w:rsid w:val="00E31774"/>
    <w:rsid w:val="00E378C4"/>
    <w:rsid w:val="00E43E1D"/>
    <w:rsid w:val="00E57286"/>
    <w:rsid w:val="00E62D5E"/>
    <w:rsid w:val="00E7481B"/>
    <w:rsid w:val="00E77DF8"/>
    <w:rsid w:val="00E810C2"/>
    <w:rsid w:val="00E82DCD"/>
    <w:rsid w:val="00E863EA"/>
    <w:rsid w:val="00E86A5B"/>
    <w:rsid w:val="00EA5D0C"/>
    <w:rsid w:val="00EC416E"/>
    <w:rsid w:val="00EE01F3"/>
    <w:rsid w:val="00EE3829"/>
    <w:rsid w:val="00EE38D4"/>
    <w:rsid w:val="00EE6C35"/>
    <w:rsid w:val="00EF325E"/>
    <w:rsid w:val="00EF46A6"/>
    <w:rsid w:val="00F101F5"/>
    <w:rsid w:val="00F20494"/>
    <w:rsid w:val="00F40B41"/>
    <w:rsid w:val="00F410CC"/>
    <w:rsid w:val="00F60581"/>
    <w:rsid w:val="00F7260F"/>
    <w:rsid w:val="00F84873"/>
    <w:rsid w:val="00F871A9"/>
    <w:rsid w:val="00F97FC0"/>
    <w:rsid w:val="00FA33ED"/>
    <w:rsid w:val="00FB10DD"/>
    <w:rsid w:val="00FB1409"/>
    <w:rsid w:val="00FB5430"/>
    <w:rsid w:val="00FC157C"/>
    <w:rsid w:val="00FD3241"/>
    <w:rsid w:val="00FE159E"/>
    <w:rsid w:val="00FE7172"/>
    <w:rsid w:val="00FF7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27"/>
    <w:pPr>
      <w:spacing w:line="300" w:lineRule="auto"/>
    </w:pPr>
    <w:rPr>
      <w:rFonts w:ascii="Arial" w:hAnsi="Arial"/>
      <w:sz w:val="24"/>
    </w:rPr>
  </w:style>
  <w:style w:type="paragraph" w:styleId="Heading1">
    <w:name w:val="heading 1"/>
    <w:basedOn w:val="Normal"/>
    <w:next w:val="Normal"/>
    <w:qFormat/>
    <w:rsid w:val="00A67D27"/>
    <w:pPr>
      <w:keepNext/>
      <w:outlineLvl w:val="0"/>
    </w:pPr>
    <w:rPr>
      <w:rFonts w:ascii="Tahoma" w:hAnsi="Tahoma"/>
      <w:b/>
      <w:spacing w:val="18"/>
      <w:sz w:val="28"/>
    </w:rPr>
  </w:style>
  <w:style w:type="paragraph" w:styleId="Heading2">
    <w:name w:val="heading 2"/>
    <w:basedOn w:val="Normal"/>
    <w:next w:val="Normal"/>
    <w:qFormat/>
    <w:rsid w:val="00A67D27"/>
    <w:pPr>
      <w:keepNext/>
      <w:outlineLvl w:val="1"/>
    </w:pPr>
    <w:rPr>
      <w:b/>
      <w:sz w:val="36"/>
    </w:rPr>
  </w:style>
  <w:style w:type="paragraph" w:styleId="Heading3">
    <w:name w:val="heading 3"/>
    <w:basedOn w:val="Normal"/>
    <w:next w:val="Normal"/>
    <w:qFormat/>
    <w:rsid w:val="00A67D27"/>
    <w:pPr>
      <w:keepNext/>
      <w:outlineLvl w:val="2"/>
    </w:pPr>
    <w:rPr>
      <w:rFonts w:ascii="Tahoma" w:hAnsi="Tahoma"/>
    </w:rPr>
  </w:style>
  <w:style w:type="paragraph" w:styleId="Heading4">
    <w:name w:val="heading 4"/>
    <w:basedOn w:val="Normal"/>
    <w:next w:val="Normal"/>
    <w:qFormat/>
    <w:rsid w:val="00A67D27"/>
    <w:pPr>
      <w:keepNext/>
      <w:outlineLvl w:val="3"/>
    </w:pPr>
    <w:rPr>
      <w:rFonts w:ascii="Tahoma" w:hAnsi="Tahoma"/>
      <w:sz w:val="40"/>
    </w:rPr>
  </w:style>
  <w:style w:type="paragraph" w:styleId="Heading5">
    <w:name w:val="heading 5"/>
    <w:basedOn w:val="Normal"/>
    <w:next w:val="Normal"/>
    <w:qFormat/>
    <w:rsid w:val="00A67D27"/>
    <w:pPr>
      <w:keepNext/>
      <w:spacing w:before="25" w:after="120"/>
      <w:jc w:val="center"/>
      <w:outlineLvl w:val="4"/>
    </w:pPr>
    <w:rPr>
      <w:rFonts w:ascii="Tahoma" w:hAnsi="Tahoma"/>
    </w:rPr>
  </w:style>
  <w:style w:type="paragraph" w:styleId="Heading6">
    <w:name w:val="heading 6"/>
    <w:basedOn w:val="Normal"/>
    <w:next w:val="Normal"/>
    <w:qFormat/>
    <w:rsid w:val="00A67D27"/>
    <w:pPr>
      <w:keepNext/>
      <w:spacing w:before="60" w:after="40"/>
      <w:outlineLvl w:val="5"/>
    </w:pPr>
    <w:rPr>
      <w:rFonts w:ascii="Tahoma" w:hAnsi="Tahoma"/>
      <w:b/>
      <w:sz w:val="20"/>
    </w:rPr>
  </w:style>
  <w:style w:type="paragraph" w:styleId="Heading7">
    <w:name w:val="heading 7"/>
    <w:basedOn w:val="Normal"/>
    <w:next w:val="Normal"/>
    <w:qFormat/>
    <w:rsid w:val="00A67D27"/>
    <w:pPr>
      <w:keepNext/>
      <w:spacing w:before="25" w:after="120"/>
      <w:outlineLvl w:val="6"/>
    </w:pPr>
    <w:rPr>
      <w:b/>
    </w:rPr>
  </w:style>
  <w:style w:type="paragraph" w:styleId="Heading8">
    <w:name w:val="heading 8"/>
    <w:basedOn w:val="Normal"/>
    <w:next w:val="Normal"/>
    <w:qFormat/>
    <w:rsid w:val="00A67D27"/>
    <w:pPr>
      <w:keepNext/>
      <w:spacing w:before="360"/>
      <w:outlineLvl w:val="7"/>
    </w:pPr>
    <w:rPr>
      <w:rFonts w:ascii="Tahoma" w:hAnsi="Tahoma"/>
      <w:b/>
      <w:sz w:val="18"/>
    </w:rPr>
  </w:style>
  <w:style w:type="paragraph" w:styleId="Heading9">
    <w:name w:val="heading 9"/>
    <w:basedOn w:val="Normal"/>
    <w:next w:val="Normal"/>
    <w:qFormat/>
    <w:rsid w:val="00A67D27"/>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67D27"/>
    <w:pPr>
      <w:tabs>
        <w:tab w:val="center" w:pos="4153"/>
        <w:tab w:val="right" w:pos="8306"/>
      </w:tabs>
    </w:pPr>
  </w:style>
  <w:style w:type="paragraph" w:styleId="Footer">
    <w:name w:val="footer"/>
    <w:basedOn w:val="Normal"/>
    <w:semiHidden/>
    <w:rsid w:val="00A67D27"/>
    <w:pPr>
      <w:tabs>
        <w:tab w:val="center" w:pos="4153"/>
        <w:tab w:val="right" w:pos="8306"/>
      </w:tabs>
    </w:pPr>
  </w:style>
  <w:style w:type="character" w:styleId="PageNumber">
    <w:name w:val="page number"/>
    <w:basedOn w:val="DefaultParagraphFont"/>
    <w:semiHidden/>
    <w:rsid w:val="00A67D27"/>
  </w:style>
  <w:style w:type="paragraph" w:styleId="BodyText">
    <w:name w:val="Body Text"/>
    <w:basedOn w:val="Normal"/>
    <w:semiHidden/>
    <w:rsid w:val="00A67D27"/>
    <w:pPr>
      <w:spacing w:before="25" w:after="120"/>
    </w:pPr>
  </w:style>
  <w:style w:type="paragraph" w:styleId="BodyTextIndent">
    <w:name w:val="Body Text Indent"/>
    <w:basedOn w:val="Normal"/>
    <w:semiHidden/>
    <w:rsid w:val="00A67D27"/>
    <w:pPr>
      <w:ind w:left="703"/>
    </w:pPr>
  </w:style>
  <w:style w:type="paragraph" w:styleId="BodyTextIndent2">
    <w:name w:val="Body Text Indent 2"/>
    <w:basedOn w:val="Normal"/>
    <w:semiHidden/>
    <w:rsid w:val="00A67D27"/>
    <w:pPr>
      <w:tabs>
        <w:tab w:val="left" w:pos="709"/>
      </w:tabs>
      <w:ind w:left="705"/>
    </w:pPr>
  </w:style>
  <w:style w:type="paragraph" w:styleId="BodyTextIndent3">
    <w:name w:val="Body Text Indent 3"/>
    <w:basedOn w:val="Normal"/>
    <w:semiHidden/>
    <w:rsid w:val="00A67D27"/>
    <w:pPr>
      <w:tabs>
        <w:tab w:val="left" w:pos="709"/>
      </w:tabs>
      <w:ind w:left="709"/>
    </w:pPr>
  </w:style>
  <w:style w:type="paragraph" w:styleId="BlockText">
    <w:name w:val="Block Text"/>
    <w:basedOn w:val="Normal"/>
    <w:semiHidden/>
    <w:rsid w:val="00A67D27"/>
    <w:pPr>
      <w:spacing w:line="240" w:lineRule="auto"/>
      <w:ind w:left="426" w:right="-58" w:hanging="426"/>
    </w:pPr>
  </w:style>
  <w:style w:type="paragraph" w:styleId="ListParagraph">
    <w:name w:val="List Paragraph"/>
    <w:basedOn w:val="Normal"/>
    <w:uiPriority w:val="34"/>
    <w:qFormat/>
    <w:rsid w:val="00A3290C"/>
    <w:pPr>
      <w:ind w:left="720"/>
    </w:pPr>
  </w:style>
  <w:style w:type="table" w:styleId="TableGrid">
    <w:name w:val="Table Grid"/>
    <w:basedOn w:val="TableNormal"/>
    <w:uiPriority w:val="59"/>
    <w:rsid w:val="00E154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67144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17092710">
      <w:bodyDiv w:val="1"/>
      <w:marLeft w:val="0"/>
      <w:marRight w:val="0"/>
      <w:marTop w:val="0"/>
      <w:marBottom w:val="0"/>
      <w:divBdr>
        <w:top w:val="none" w:sz="0" w:space="0" w:color="auto"/>
        <w:left w:val="none" w:sz="0" w:space="0" w:color="auto"/>
        <w:bottom w:val="none" w:sz="0" w:space="0" w:color="auto"/>
        <w:right w:val="none" w:sz="0" w:space="0" w:color="auto"/>
      </w:divBdr>
    </w:div>
    <w:div w:id="659044978">
      <w:bodyDiv w:val="1"/>
      <w:marLeft w:val="0"/>
      <w:marRight w:val="0"/>
      <w:marTop w:val="0"/>
      <w:marBottom w:val="0"/>
      <w:divBdr>
        <w:top w:val="none" w:sz="0" w:space="0" w:color="auto"/>
        <w:left w:val="none" w:sz="0" w:space="0" w:color="auto"/>
        <w:bottom w:val="none" w:sz="0" w:space="0" w:color="auto"/>
        <w:right w:val="none" w:sz="0" w:space="0" w:color="auto"/>
      </w:divBdr>
    </w:div>
    <w:div w:id="11636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447B-19D6-4C46-8683-D94B1DD1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BUDGET OVERVIEW AND MONITORING REPORT: APRIL TO JUNE 2010</vt:lpstr>
    </vt:vector>
  </TitlesOfParts>
  <Company>Carlisle City Council, I.T. Services</Company>
  <LinksUpToDate>false</LinksUpToDate>
  <CharactersWithSpaces>17407</CharactersWithSpaces>
  <SharedDoc>false</SharedDoc>
  <HLinks>
    <vt:vector size="6" baseType="variant">
      <vt:variant>
        <vt:i4>7602279</vt:i4>
      </vt:variant>
      <vt:variant>
        <vt:i4>-1</vt:i4>
      </vt:variant>
      <vt:variant>
        <vt:i4>1026</vt:i4>
      </vt:variant>
      <vt:variant>
        <vt:i4>1</vt:i4>
      </vt:variant>
      <vt:variant>
        <vt:lpwstr>cclogojpeg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OVERVIEW AND MONITORING REPORT: APRIL TO JUNE 2010</dc:title>
  <dc:subject/>
  <dc:creator> </dc:creator>
  <cp:keywords/>
  <dc:description/>
  <cp:lastModifiedBy>RachelR</cp:lastModifiedBy>
  <cp:revision>2</cp:revision>
  <cp:lastPrinted>2010-07-19T13:39:00Z</cp:lastPrinted>
  <dcterms:created xsi:type="dcterms:W3CDTF">2010-07-19T16:22:00Z</dcterms:created>
  <dcterms:modified xsi:type="dcterms:W3CDTF">2010-07-19T16:22:00Z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