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1702"/>
        <w:gridCol w:w="141"/>
        <w:gridCol w:w="142"/>
        <w:gridCol w:w="1134"/>
        <w:gridCol w:w="2693"/>
        <w:gridCol w:w="2977"/>
        <w:gridCol w:w="992"/>
      </w:tblGrid>
      <w:tr w:rsidR="001B2160">
        <w:trPr>
          <w:gridBefore w:val="4"/>
          <w:wBefore w:w="3119" w:type="dxa"/>
          <w:trHeight w:val="1700"/>
        </w:trPr>
        <w:tc>
          <w:tcPr>
            <w:tcW w:w="6662" w:type="dxa"/>
            <w:gridSpan w:val="3"/>
          </w:tcPr>
          <w:p w:rsidR="001B2160" w:rsidRDefault="00D32176">
            <w:pPr>
              <w:pStyle w:val="Header"/>
              <w:rPr>
                <w:b/>
                <w:noProof/>
                <w:sz w:val="44"/>
              </w:rPr>
            </w:pPr>
            <w:r>
              <w:rPr>
                <w:b/>
                <w:noProof/>
                <w:sz w:val="44"/>
              </w:rPr>
              <w:t>REPORT TO EXECUTIVE</w:t>
            </w:r>
            <w:r w:rsidR="00BA09C9">
              <w:rPr>
                <w:b/>
                <w:noProof/>
                <w:sz w:val="44"/>
              </w:rPr>
              <w:drawing>
                <wp:anchor distT="0" distB="0" distL="114300" distR="114300" simplePos="0" relativeHeight="251657728" behindDoc="0" locked="0" layoutInCell="0" allowOverlap="1">
                  <wp:simplePos x="0" y="0"/>
                  <wp:positionH relativeFrom="column">
                    <wp:posOffset>10795</wp:posOffset>
                  </wp:positionH>
                  <wp:positionV relativeFrom="page">
                    <wp:posOffset>640715</wp:posOffset>
                  </wp:positionV>
                  <wp:extent cx="1457325" cy="1251585"/>
                  <wp:effectExtent l="19050" t="0" r="9525" b="0"/>
                  <wp:wrapNone/>
                  <wp:docPr id="72" name="Picture 72" descr="H:\My Documents\cclogojpe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H:\My Documents\cclogojpeg.jpg"/>
                          <pic:cNvPicPr preferRelativeResize="0">
                            <a:picLocks noChangeArrowheads="1"/>
                          </pic:cNvPicPr>
                        </pic:nvPicPr>
                        <pic:blipFill>
                          <a:blip r:embed="rId8" cstate="print"/>
                          <a:srcRect/>
                          <a:stretch>
                            <a:fillRect/>
                          </a:stretch>
                        </pic:blipFill>
                        <pic:spPr bwMode="auto">
                          <a:xfrm>
                            <a:off x="0" y="0"/>
                            <a:ext cx="1457325" cy="1251585"/>
                          </a:xfrm>
                          <a:prstGeom prst="rect">
                            <a:avLst/>
                          </a:prstGeom>
                          <a:noFill/>
                          <a:ln w="9525">
                            <a:noFill/>
                            <a:miter lim="800000"/>
                            <a:headEnd/>
                            <a:tailEnd/>
                          </a:ln>
                        </pic:spPr>
                      </pic:pic>
                    </a:graphicData>
                  </a:graphic>
                </wp:anchor>
              </w:drawing>
            </w:r>
          </w:p>
        </w:tc>
      </w:tr>
      <w:tr w:rsidR="001B2160">
        <w:tblPrEx>
          <w:tblBorders>
            <w:top w:val="single" w:sz="4" w:space="0" w:color="auto"/>
            <w:bottom w:val="single" w:sz="4" w:space="0" w:color="auto"/>
            <w:insideH w:val="single" w:sz="4" w:space="0" w:color="auto"/>
          </w:tblBorders>
        </w:tblPrEx>
        <w:trPr>
          <w:cantSplit/>
        </w:trPr>
        <w:tc>
          <w:tcPr>
            <w:tcW w:w="9781" w:type="dxa"/>
            <w:gridSpan w:val="7"/>
            <w:tcBorders>
              <w:top w:val="nil"/>
              <w:bottom w:val="nil"/>
            </w:tcBorders>
          </w:tcPr>
          <w:p w:rsidR="001B2160" w:rsidRDefault="00D36A4B">
            <w:pPr>
              <w:pStyle w:val="Header"/>
              <w:tabs>
                <w:tab w:val="clear" w:pos="4153"/>
                <w:tab w:val="clear" w:pos="8306"/>
              </w:tabs>
              <w:rPr>
                <w:rFonts w:ascii="Tahoma" w:hAnsi="Tahoma"/>
                <w:b/>
                <w:sz w:val="28"/>
              </w:rPr>
            </w:pPr>
            <w:r>
              <w:rPr>
                <w:rFonts w:ascii="Tahoma" w:hAnsi="Tahoma"/>
                <w:b/>
                <w:sz w:val="28"/>
              </w:rPr>
              <w:br/>
            </w:r>
            <w:bookmarkStart w:id="0" w:name="Portfolio"/>
            <w:bookmarkEnd w:id="0"/>
            <w:r w:rsidR="00D32176">
              <w:rPr>
                <w:rFonts w:ascii="Tahoma" w:hAnsi="Tahoma"/>
                <w:b/>
                <w:sz w:val="28"/>
              </w:rPr>
              <w:t>PORTFOLIO AREA: ECONOMIC DEVELOPMENT</w:t>
            </w:r>
          </w:p>
        </w:tc>
      </w:tr>
      <w:tr w:rsidR="001B2160">
        <w:tblPrEx>
          <w:tblBorders>
            <w:top w:val="single" w:sz="4" w:space="0" w:color="auto"/>
            <w:bottom w:val="single" w:sz="4" w:space="0" w:color="auto"/>
            <w:insideH w:val="single" w:sz="4" w:space="0" w:color="auto"/>
          </w:tblBorders>
        </w:tblPrEx>
        <w:trPr>
          <w:cantSplit/>
        </w:trPr>
        <w:tc>
          <w:tcPr>
            <w:tcW w:w="1985" w:type="dxa"/>
            <w:gridSpan w:val="3"/>
            <w:tcBorders>
              <w:bottom w:val="nil"/>
            </w:tcBorders>
          </w:tcPr>
          <w:p w:rsidR="001B2160" w:rsidRDefault="001B2160">
            <w:pPr>
              <w:pStyle w:val="Header"/>
              <w:tabs>
                <w:tab w:val="clear" w:pos="4153"/>
                <w:tab w:val="clear" w:pos="8306"/>
              </w:tabs>
              <w:rPr>
                <w:rFonts w:ascii="Tahoma" w:hAnsi="Tahoma"/>
                <w:b/>
                <w:sz w:val="20"/>
              </w:rPr>
            </w:pPr>
          </w:p>
          <w:p w:rsidR="001B2160" w:rsidRDefault="00D36A4B">
            <w:pPr>
              <w:pStyle w:val="Header"/>
              <w:tabs>
                <w:tab w:val="clear" w:pos="4153"/>
                <w:tab w:val="clear" w:pos="8306"/>
              </w:tabs>
              <w:rPr>
                <w:rFonts w:ascii="Tahoma" w:hAnsi="Tahoma"/>
                <w:b/>
                <w:sz w:val="20"/>
              </w:rPr>
            </w:pPr>
            <w:r>
              <w:rPr>
                <w:rFonts w:ascii="Tahoma" w:hAnsi="Tahoma"/>
                <w:b/>
                <w:sz w:val="20"/>
              </w:rPr>
              <w:t>Date of Meeting:</w:t>
            </w:r>
          </w:p>
        </w:tc>
        <w:tc>
          <w:tcPr>
            <w:tcW w:w="7796" w:type="dxa"/>
            <w:gridSpan w:val="4"/>
            <w:tcBorders>
              <w:bottom w:val="nil"/>
            </w:tcBorders>
          </w:tcPr>
          <w:p w:rsidR="001B2160" w:rsidRDefault="001B2160">
            <w:pPr>
              <w:pStyle w:val="Header"/>
              <w:tabs>
                <w:tab w:val="clear" w:pos="4153"/>
                <w:tab w:val="clear" w:pos="8306"/>
              </w:tabs>
              <w:rPr>
                <w:rFonts w:ascii="Tahoma" w:hAnsi="Tahoma"/>
                <w:b/>
                <w:sz w:val="20"/>
              </w:rPr>
            </w:pPr>
          </w:p>
          <w:p w:rsidR="001B2160" w:rsidRDefault="00D32176">
            <w:pPr>
              <w:pStyle w:val="Header"/>
              <w:tabs>
                <w:tab w:val="clear" w:pos="4153"/>
                <w:tab w:val="clear" w:pos="8306"/>
              </w:tabs>
              <w:rPr>
                <w:rFonts w:ascii="Tahoma" w:hAnsi="Tahoma"/>
                <w:b/>
                <w:sz w:val="20"/>
              </w:rPr>
            </w:pPr>
            <w:bookmarkStart w:id="1" w:name="DateOfMeeting"/>
            <w:bookmarkEnd w:id="1"/>
            <w:r>
              <w:rPr>
                <w:rFonts w:ascii="Tahoma" w:hAnsi="Tahoma"/>
                <w:b/>
                <w:sz w:val="20"/>
              </w:rPr>
              <w:t xml:space="preserve">22nd November 2010 </w:t>
            </w:r>
          </w:p>
        </w:tc>
      </w:tr>
      <w:tr w:rsidR="001B2160">
        <w:tblPrEx>
          <w:tblBorders>
            <w:top w:val="single" w:sz="4" w:space="0" w:color="auto"/>
            <w:bottom w:val="single" w:sz="4" w:space="0" w:color="auto"/>
            <w:insideH w:val="single" w:sz="4" w:space="0" w:color="auto"/>
          </w:tblBorders>
        </w:tblPrEx>
        <w:trPr>
          <w:cantSplit/>
        </w:trPr>
        <w:tc>
          <w:tcPr>
            <w:tcW w:w="1843" w:type="dxa"/>
            <w:gridSpan w:val="2"/>
            <w:tcBorders>
              <w:bottom w:val="nil"/>
            </w:tcBorders>
          </w:tcPr>
          <w:p w:rsidR="00D32176" w:rsidRDefault="00D32176">
            <w:pPr>
              <w:pStyle w:val="Header"/>
              <w:tabs>
                <w:tab w:val="clear" w:pos="4153"/>
                <w:tab w:val="clear" w:pos="8306"/>
              </w:tabs>
              <w:rPr>
                <w:rFonts w:ascii="Tahoma" w:hAnsi="Tahoma"/>
                <w:b/>
                <w:sz w:val="20"/>
              </w:rPr>
            </w:pPr>
          </w:p>
          <w:p w:rsidR="001B2160" w:rsidRDefault="00D32176">
            <w:pPr>
              <w:pStyle w:val="Header"/>
              <w:tabs>
                <w:tab w:val="clear" w:pos="4153"/>
                <w:tab w:val="clear" w:pos="8306"/>
              </w:tabs>
              <w:rPr>
                <w:rFonts w:ascii="Tahoma" w:hAnsi="Tahoma"/>
                <w:sz w:val="20"/>
              </w:rPr>
            </w:pPr>
            <w:r>
              <w:rPr>
                <w:rFonts w:ascii="Tahoma" w:hAnsi="Tahoma"/>
                <w:b/>
                <w:sz w:val="20"/>
              </w:rPr>
              <w:t>Public</w:t>
            </w:r>
          </w:p>
        </w:tc>
        <w:tc>
          <w:tcPr>
            <w:tcW w:w="7938" w:type="dxa"/>
            <w:gridSpan w:val="5"/>
            <w:tcBorders>
              <w:bottom w:val="nil"/>
            </w:tcBorders>
          </w:tcPr>
          <w:p w:rsidR="001B2160" w:rsidRDefault="001B2160">
            <w:pPr>
              <w:pStyle w:val="Header"/>
              <w:tabs>
                <w:tab w:val="clear" w:pos="4153"/>
                <w:tab w:val="clear" w:pos="8306"/>
              </w:tabs>
              <w:rPr>
                <w:rFonts w:ascii="Tahoma" w:hAnsi="Tahoma"/>
                <w:b/>
                <w:sz w:val="20"/>
              </w:rPr>
            </w:pPr>
          </w:p>
          <w:p w:rsidR="001B2160" w:rsidRDefault="001B2160">
            <w:pPr>
              <w:pStyle w:val="Header"/>
              <w:tabs>
                <w:tab w:val="clear" w:pos="4153"/>
                <w:tab w:val="clear" w:pos="8306"/>
              </w:tabs>
              <w:ind w:left="176" w:hanging="176"/>
              <w:rPr>
                <w:rFonts w:ascii="Tahoma" w:hAnsi="Tahoma"/>
                <w:sz w:val="20"/>
              </w:rPr>
            </w:pPr>
            <w:bookmarkStart w:id="2" w:name="NotForPublication"/>
            <w:bookmarkEnd w:id="2"/>
          </w:p>
        </w:tc>
      </w:tr>
      <w:tr w:rsidR="001B2160">
        <w:tblPrEx>
          <w:tblBorders>
            <w:top w:val="single" w:sz="4" w:space="0" w:color="auto"/>
            <w:bottom w:val="single" w:sz="4" w:space="0" w:color="auto"/>
            <w:insideH w:val="single" w:sz="4" w:space="0" w:color="auto"/>
          </w:tblBorders>
        </w:tblPrEx>
        <w:trPr>
          <w:cantSplit/>
        </w:trPr>
        <w:tc>
          <w:tcPr>
            <w:tcW w:w="1702" w:type="dxa"/>
            <w:tcBorders>
              <w:bottom w:val="nil"/>
            </w:tcBorders>
          </w:tcPr>
          <w:p w:rsidR="001B2160" w:rsidRDefault="001B2160">
            <w:pPr>
              <w:pStyle w:val="Header"/>
              <w:tabs>
                <w:tab w:val="clear" w:pos="4153"/>
                <w:tab w:val="clear" w:pos="8306"/>
              </w:tabs>
              <w:rPr>
                <w:rFonts w:ascii="Tahoma" w:hAnsi="Tahoma"/>
                <w:b/>
                <w:sz w:val="20"/>
              </w:rPr>
            </w:pPr>
          </w:p>
          <w:p w:rsidR="001B2160" w:rsidRDefault="00D36A4B">
            <w:pPr>
              <w:pStyle w:val="Header"/>
              <w:tabs>
                <w:tab w:val="clear" w:pos="4153"/>
                <w:tab w:val="clear" w:pos="8306"/>
              </w:tabs>
              <w:rPr>
                <w:rFonts w:ascii="Tahoma" w:hAnsi="Tahoma"/>
                <w:b/>
                <w:sz w:val="20"/>
              </w:rPr>
            </w:pPr>
            <w:r>
              <w:rPr>
                <w:rFonts w:ascii="Tahoma" w:hAnsi="Tahoma"/>
                <w:b/>
                <w:sz w:val="20"/>
              </w:rPr>
              <w:t>Key Decision:</w:t>
            </w:r>
          </w:p>
        </w:tc>
        <w:tc>
          <w:tcPr>
            <w:tcW w:w="4110" w:type="dxa"/>
            <w:gridSpan w:val="4"/>
            <w:tcBorders>
              <w:bottom w:val="nil"/>
            </w:tcBorders>
          </w:tcPr>
          <w:p w:rsidR="00D32176" w:rsidRDefault="00D32176">
            <w:pPr>
              <w:pStyle w:val="Header"/>
              <w:tabs>
                <w:tab w:val="clear" w:pos="4153"/>
                <w:tab w:val="clear" w:pos="8306"/>
              </w:tabs>
              <w:rPr>
                <w:rFonts w:ascii="Tahoma" w:hAnsi="Tahoma"/>
                <w:b/>
                <w:sz w:val="20"/>
              </w:rPr>
            </w:pPr>
          </w:p>
          <w:p w:rsidR="001B2160" w:rsidRDefault="00D32176">
            <w:pPr>
              <w:pStyle w:val="Header"/>
              <w:tabs>
                <w:tab w:val="clear" w:pos="4153"/>
                <w:tab w:val="clear" w:pos="8306"/>
              </w:tabs>
              <w:rPr>
                <w:rFonts w:ascii="Tahoma" w:hAnsi="Tahoma"/>
                <w:b/>
                <w:sz w:val="20"/>
              </w:rPr>
            </w:pPr>
            <w:r>
              <w:rPr>
                <w:rFonts w:ascii="Tahoma" w:hAnsi="Tahoma"/>
                <w:b/>
                <w:sz w:val="20"/>
              </w:rPr>
              <w:t>No</w:t>
            </w:r>
          </w:p>
        </w:tc>
        <w:tc>
          <w:tcPr>
            <w:tcW w:w="2977" w:type="dxa"/>
            <w:tcBorders>
              <w:bottom w:val="nil"/>
            </w:tcBorders>
          </w:tcPr>
          <w:p w:rsidR="001B2160" w:rsidRDefault="001B2160">
            <w:pPr>
              <w:pStyle w:val="Header"/>
              <w:tabs>
                <w:tab w:val="clear" w:pos="4153"/>
                <w:tab w:val="clear" w:pos="8306"/>
              </w:tabs>
              <w:jc w:val="right"/>
              <w:rPr>
                <w:rFonts w:ascii="Tahoma" w:hAnsi="Tahoma"/>
                <w:b/>
                <w:sz w:val="20"/>
              </w:rPr>
            </w:pPr>
          </w:p>
          <w:p w:rsidR="001B2160" w:rsidRDefault="00D36A4B">
            <w:pPr>
              <w:pStyle w:val="Header"/>
              <w:tabs>
                <w:tab w:val="clear" w:pos="4153"/>
                <w:tab w:val="clear" w:pos="8306"/>
              </w:tabs>
              <w:jc w:val="right"/>
              <w:rPr>
                <w:rFonts w:ascii="Tahoma" w:hAnsi="Tahoma"/>
                <w:b/>
                <w:sz w:val="20"/>
              </w:rPr>
            </w:pPr>
            <w:r>
              <w:rPr>
                <w:rFonts w:ascii="Tahoma" w:hAnsi="Tahoma"/>
                <w:b/>
                <w:sz w:val="20"/>
              </w:rPr>
              <w:t>Recorded in Forward Plan:</w:t>
            </w:r>
          </w:p>
        </w:tc>
        <w:tc>
          <w:tcPr>
            <w:tcW w:w="992" w:type="dxa"/>
            <w:tcBorders>
              <w:bottom w:val="nil"/>
            </w:tcBorders>
          </w:tcPr>
          <w:p w:rsidR="00D32176" w:rsidRDefault="00D32176">
            <w:pPr>
              <w:pStyle w:val="Header"/>
              <w:tabs>
                <w:tab w:val="clear" w:pos="4153"/>
                <w:tab w:val="clear" w:pos="8306"/>
              </w:tabs>
              <w:jc w:val="right"/>
              <w:rPr>
                <w:rFonts w:ascii="Tahoma" w:hAnsi="Tahoma"/>
                <w:b/>
                <w:sz w:val="20"/>
              </w:rPr>
            </w:pPr>
          </w:p>
          <w:p w:rsidR="001B2160" w:rsidRDefault="00D32176">
            <w:pPr>
              <w:pStyle w:val="Header"/>
              <w:tabs>
                <w:tab w:val="clear" w:pos="4153"/>
                <w:tab w:val="clear" w:pos="8306"/>
              </w:tabs>
              <w:jc w:val="right"/>
              <w:rPr>
                <w:rFonts w:ascii="Tahoma" w:hAnsi="Tahoma"/>
                <w:b/>
                <w:sz w:val="20"/>
              </w:rPr>
            </w:pPr>
            <w:r>
              <w:rPr>
                <w:rFonts w:ascii="Tahoma" w:hAnsi="Tahoma"/>
                <w:b/>
                <w:sz w:val="20"/>
              </w:rPr>
              <w:t>No</w:t>
            </w:r>
          </w:p>
        </w:tc>
      </w:tr>
      <w:tr w:rsidR="001B2160">
        <w:tblPrEx>
          <w:tblBorders>
            <w:top w:val="single" w:sz="4" w:space="0" w:color="auto"/>
            <w:bottom w:val="single" w:sz="4" w:space="0" w:color="auto"/>
            <w:insideH w:val="single" w:sz="4" w:space="0" w:color="auto"/>
          </w:tblBorders>
        </w:tblPrEx>
        <w:trPr>
          <w:cantSplit/>
        </w:trPr>
        <w:tc>
          <w:tcPr>
            <w:tcW w:w="9781" w:type="dxa"/>
            <w:gridSpan w:val="7"/>
            <w:tcBorders>
              <w:bottom w:val="single" w:sz="4" w:space="0" w:color="auto"/>
            </w:tcBorders>
          </w:tcPr>
          <w:p w:rsidR="00D32176" w:rsidRDefault="00D32176">
            <w:pPr>
              <w:pStyle w:val="Header"/>
              <w:tabs>
                <w:tab w:val="clear" w:pos="4153"/>
                <w:tab w:val="clear" w:pos="8306"/>
              </w:tabs>
              <w:rPr>
                <w:rFonts w:ascii="Tahoma" w:hAnsi="Tahoma"/>
                <w:b/>
                <w:sz w:val="20"/>
              </w:rPr>
            </w:pPr>
          </w:p>
          <w:p w:rsidR="001B2160" w:rsidRDefault="00D32176">
            <w:pPr>
              <w:pStyle w:val="Header"/>
              <w:tabs>
                <w:tab w:val="clear" w:pos="4153"/>
                <w:tab w:val="clear" w:pos="8306"/>
              </w:tabs>
              <w:rPr>
                <w:rFonts w:ascii="Tahoma" w:hAnsi="Tahoma"/>
                <w:b/>
                <w:sz w:val="20"/>
              </w:rPr>
            </w:pPr>
            <w:r>
              <w:rPr>
                <w:rFonts w:ascii="Tahoma" w:hAnsi="Tahoma"/>
                <w:b/>
                <w:sz w:val="20"/>
              </w:rPr>
              <w:t>Inside Policy Framework</w:t>
            </w:r>
          </w:p>
        </w:tc>
      </w:tr>
    </w:tbl>
    <w:p w:rsidR="001B2160" w:rsidRPr="00DE6AFD" w:rsidRDefault="001B2160">
      <w:pPr>
        <w:pStyle w:val="Header"/>
        <w:tabs>
          <w:tab w:val="clear" w:pos="4153"/>
          <w:tab w:val="clear" w:pos="8306"/>
        </w:tabs>
        <w:rPr>
          <w:rFonts w:ascii="Tahoma" w:hAnsi="Tahoma"/>
          <w:sz w:val="36"/>
        </w:rPr>
      </w:pPr>
    </w:p>
    <w:tbl>
      <w:tblPr>
        <w:tblW w:w="0" w:type="auto"/>
        <w:tblLayout w:type="fixed"/>
        <w:tblLook w:val="0000"/>
      </w:tblPr>
      <w:tblGrid>
        <w:gridCol w:w="2376"/>
        <w:gridCol w:w="7513"/>
      </w:tblGrid>
      <w:tr w:rsidR="001B2160">
        <w:tc>
          <w:tcPr>
            <w:tcW w:w="2376" w:type="dxa"/>
          </w:tcPr>
          <w:p w:rsidR="001B2160" w:rsidRDefault="00D36A4B">
            <w:pPr>
              <w:pStyle w:val="Heading8"/>
              <w:spacing w:before="0"/>
              <w:rPr>
                <w:sz w:val="24"/>
              </w:rPr>
            </w:pPr>
            <w:r>
              <w:rPr>
                <w:sz w:val="24"/>
              </w:rPr>
              <w:t>Title:</w:t>
            </w:r>
          </w:p>
        </w:tc>
        <w:tc>
          <w:tcPr>
            <w:tcW w:w="7513" w:type="dxa"/>
          </w:tcPr>
          <w:p w:rsidR="001B2160" w:rsidRDefault="00D32176">
            <w:pPr>
              <w:rPr>
                <w:rFonts w:ascii="Tahoma" w:hAnsi="Tahoma"/>
                <w:b/>
              </w:rPr>
            </w:pPr>
            <w:bookmarkStart w:id="3" w:name="Title"/>
            <w:bookmarkEnd w:id="3"/>
            <w:r>
              <w:rPr>
                <w:rFonts w:ascii="Tahoma" w:hAnsi="Tahoma"/>
                <w:b/>
              </w:rPr>
              <w:t>REGIONAL SPATIAL STRATEGY UPDATE</w:t>
            </w:r>
          </w:p>
        </w:tc>
      </w:tr>
      <w:tr w:rsidR="001B2160">
        <w:tc>
          <w:tcPr>
            <w:tcW w:w="2376" w:type="dxa"/>
          </w:tcPr>
          <w:p w:rsidR="001B2160" w:rsidRDefault="00D36A4B">
            <w:pPr>
              <w:pStyle w:val="Heading8"/>
              <w:spacing w:before="0"/>
              <w:rPr>
                <w:sz w:val="24"/>
              </w:rPr>
            </w:pPr>
            <w:r>
              <w:rPr>
                <w:sz w:val="24"/>
              </w:rPr>
              <w:t>Report of:</w:t>
            </w:r>
          </w:p>
        </w:tc>
        <w:tc>
          <w:tcPr>
            <w:tcW w:w="7513" w:type="dxa"/>
          </w:tcPr>
          <w:p w:rsidR="001B2160" w:rsidRDefault="00D32176">
            <w:pPr>
              <w:rPr>
                <w:rFonts w:ascii="Tahoma" w:hAnsi="Tahoma"/>
                <w:b/>
              </w:rPr>
            </w:pPr>
            <w:bookmarkStart w:id="4" w:name="ReportOf"/>
            <w:bookmarkEnd w:id="4"/>
            <w:r>
              <w:rPr>
                <w:rFonts w:ascii="Tahoma" w:hAnsi="Tahoma"/>
                <w:b/>
              </w:rPr>
              <w:t>ASSISTANT DIRECTOR (ECONOMIC DEVELOPMENT)</w:t>
            </w:r>
          </w:p>
        </w:tc>
      </w:tr>
      <w:tr w:rsidR="001B2160">
        <w:tc>
          <w:tcPr>
            <w:tcW w:w="2376" w:type="dxa"/>
          </w:tcPr>
          <w:p w:rsidR="001B2160" w:rsidRDefault="00D36A4B">
            <w:pPr>
              <w:pStyle w:val="Heading8"/>
              <w:spacing w:before="0" w:after="60"/>
              <w:rPr>
                <w:sz w:val="24"/>
              </w:rPr>
            </w:pPr>
            <w:r>
              <w:rPr>
                <w:sz w:val="24"/>
              </w:rPr>
              <w:t>Report reference:</w:t>
            </w:r>
          </w:p>
        </w:tc>
        <w:tc>
          <w:tcPr>
            <w:tcW w:w="7513" w:type="dxa"/>
          </w:tcPr>
          <w:p w:rsidR="001B2160" w:rsidRDefault="00D32176">
            <w:pPr>
              <w:rPr>
                <w:rFonts w:ascii="Tahoma" w:hAnsi="Tahoma"/>
                <w:b/>
              </w:rPr>
            </w:pPr>
            <w:bookmarkStart w:id="5" w:name="ReportReference"/>
            <w:bookmarkEnd w:id="5"/>
            <w:r>
              <w:rPr>
                <w:rFonts w:ascii="Tahoma" w:hAnsi="Tahoma"/>
                <w:b/>
              </w:rPr>
              <w:t>ED.38/10</w:t>
            </w:r>
          </w:p>
        </w:tc>
      </w:tr>
    </w:tbl>
    <w:p w:rsidR="001B2160" w:rsidRPr="00EE4963" w:rsidRDefault="001B2160">
      <w:pPr>
        <w:pStyle w:val="Header"/>
        <w:tabs>
          <w:tab w:val="clear" w:pos="4153"/>
          <w:tab w:val="clear" w:pos="8306"/>
        </w:tabs>
        <w:rPr>
          <w:rFonts w:ascii="Tahoma" w:hAnsi="Tahoma"/>
        </w:rPr>
      </w:pPr>
    </w:p>
    <w:p w:rsidR="001B2160" w:rsidRDefault="00D36A4B">
      <w:pPr>
        <w:pStyle w:val="Header"/>
        <w:tabs>
          <w:tab w:val="clear" w:pos="4153"/>
          <w:tab w:val="clear" w:pos="8306"/>
        </w:tabs>
        <w:rPr>
          <w:rFonts w:ascii="Tahoma" w:hAnsi="Tahoma"/>
          <w:b/>
        </w:rPr>
      </w:pPr>
      <w:r>
        <w:rPr>
          <w:rFonts w:ascii="Tahoma" w:hAnsi="Tahoma"/>
          <w:b/>
        </w:rPr>
        <w:t>Summary:</w:t>
      </w:r>
    </w:p>
    <w:p w:rsidR="001B2160" w:rsidRDefault="00C31ABD">
      <w:pPr>
        <w:pStyle w:val="Header"/>
        <w:tabs>
          <w:tab w:val="clear" w:pos="4153"/>
          <w:tab w:val="clear" w:pos="8306"/>
        </w:tabs>
      </w:pPr>
      <w:bookmarkStart w:id="6" w:name="StartOfText"/>
      <w:bookmarkEnd w:id="6"/>
      <w:r>
        <w:t>This report updates Members on the Government’s changes regarding Development Plans and the position relating to Carlisle’s planning policies.</w:t>
      </w:r>
    </w:p>
    <w:p w:rsidR="001B2160" w:rsidRDefault="001B2160">
      <w:pPr>
        <w:pStyle w:val="Header"/>
        <w:tabs>
          <w:tab w:val="clear" w:pos="4153"/>
          <w:tab w:val="clear" w:pos="8306"/>
        </w:tabs>
      </w:pPr>
    </w:p>
    <w:p w:rsidR="001B2160" w:rsidRDefault="00D36A4B">
      <w:pPr>
        <w:pStyle w:val="Header"/>
        <w:tabs>
          <w:tab w:val="clear" w:pos="4153"/>
          <w:tab w:val="clear" w:pos="8306"/>
        </w:tabs>
        <w:rPr>
          <w:rFonts w:ascii="Tahoma" w:hAnsi="Tahoma"/>
          <w:b/>
        </w:rPr>
      </w:pPr>
      <w:r>
        <w:rPr>
          <w:rFonts w:ascii="Tahoma" w:hAnsi="Tahoma"/>
          <w:b/>
        </w:rPr>
        <w:t>Recommendations:</w:t>
      </w:r>
    </w:p>
    <w:p w:rsidR="001B2160" w:rsidRDefault="00C31ABD">
      <w:pPr>
        <w:pStyle w:val="Header"/>
        <w:tabs>
          <w:tab w:val="clear" w:pos="4153"/>
          <w:tab w:val="clear" w:pos="8306"/>
        </w:tabs>
      </w:pPr>
      <w:r>
        <w:t>That Members</w:t>
      </w:r>
      <w:r w:rsidR="00516407">
        <w:t xml:space="preserve"> note the latest position regarding</w:t>
      </w:r>
      <w:r w:rsidR="0023019C">
        <w:t xml:space="preserve"> Regional Spatial Strategy.</w:t>
      </w:r>
      <w:r>
        <w:t xml:space="preserve"> </w:t>
      </w:r>
    </w:p>
    <w:p w:rsidR="001B2160" w:rsidRDefault="001B2160">
      <w:pPr>
        <w:pStyle w:val="Header"/>
        <w:tabs>
          <w:tab w:val="clear" w:pos="4153"/>
          <w:tab w:val="clear" w:pos="8306"/>
        </w:tabs>
      </w:pPr>
    </w:p>
    <w:p w:rsidR="00516407" w:rsidRDefault="00516407">
      <w:pPr>
        <w:pStyle w:val="Header"/>
        <w:tabs>
          <w:tab w:val="clear" w:pos="4153"/>
          <w:tab w:val="clear" w:pos="8306"/>
        </w:tabs>
      </w:pPr>
    </w:p>
    <w:p w:rsidR="00516407" w:rsidRDefault="00516407">
      <w:pPr>
        <w:pStyle w:val="Header"/>
        <w:tabs>
          <w:tab w:val="clear" w:pos="4153"/>
          <w:tab w:val="clear" w:pos="8306"/>
        </w:tabs>
      </w:pPr>
    </w:p>
    <w:p w:rsidR="00516407" w:rsidRDefault="00516407">
      <w:pPr>
        <w:pStyle w:val="Header"/>
        <w:tabs>
          <w:tab w:val="clear" w:pos="4153"/>
          <w:tab w:val="clear" w:pos="8306"/>
        </w:tabs>
      </w:pPr>
    </w:p>
    <w:p w:rsidR="00516407" w:rsidRDefault="00516407">
      <w:pPr>
        <w:pStyle w:val="Header"/>
        <w:tabs>
          <w:tab w:val="clear" w:pos="4153"/>
          <w:tab w:val="clear" w:pos="8306"/>
        </w:tabs>
      </w:pPr>
    </w:p>
    <w:p w:rsidR="00516407" w:rsidRDefault="00516407">
      <w:pPr>
        <w:pStyle w:val="Header"/>
        <w:tabs>
          <w:tab w:val="clear" w:pos="4153"/>
          <w:tab w:val="clear" w:pos="8306"/>
        </w:tabs>
      </w:pPr>
    </w:p>
    <w:p w:rsidR="00516407" w:rsidRDefault="00516407">
      <w:pPr>
        <w:pStyle w:val="Header"/>
        <w:tabs>
          <w:tab w:val="clear" w:pos="4153"/>
          <w:tab w:val="clear" w:pos="8306"/>
        </w:tabs>
      </w:pPr>
    </w:p>
    <w:p w:rsidR="00516407" w:rsidRDefault="00516407">
      <w:pPr>
        <w:pStyle w:val="Header"/>
        <w:tabs>
          <w:tab w:val="clear" w:pos="4153"/>
          <w:tab w:val="clear" w:pos="8306"/>
        </w:tabs>
      </w:pPr>
    </w:p>
    <w:p w:rsidR="00516407" w:rsidRDefault="00516407">
      <w:pPr>
        <w:pStyle w:val="Header"/>
        <w:tabs>
          <w:tab w:val="clear" w:pos="4153"/>
          <w:tab w:val="clear" w:pos="8306"/>
        </w:tabs>
      </w:pPr>
    </w:p>
    <w:p w:rsidR="00516407" w:rsidRDefault="00516407">
      <w:pPr>
        <w:pStyle w:val="Header"/>
        <w:tabs>
          <w:tab w:val="clear" w:pos="4153"/>
          <w:tab w:val="clear" w:pos="8306"/>
        </w:tabs>
      </w:pPr>
    </w:p>
    <w:p w:rsidR="00516407" w:rsidRDefault="00516407">
      <w:pPr>
        <w:pStyle w:val="Header"/>
        <w:tabs>
          <w:tab w:val="clear" w:pos="4153"/>
          <w:tab w:val="clear" w:pos="8306"/>
        </w:tabs>
      </w:pPr>
    </w:p>
    <w:tbl>
      <w:tblPr>
        <w:tblW w:w="0" w:type="auto"/>
        <w:tblLayout w:type="fixed"/>
        <w:tblLook w:val="0000"/>
      </w:tblPr>
      <w:tblGrid>
        <w:gridCol w:w="2518"/>
        <w:gridCol w:w="4253"/>
        <w:gridCol w:w="708"/>
        <w:gridCol w:w="2410"/>
      </w:tblGrid>
      <w:tr w:rsidR="001B2160">
        <w:tc>
          <w:tcPr>
            <w:tcW w:w="2518" w:type="dxa"/>
          </w:tcPr>
          <w:p w:rsidR="001B2160" w:rsidRDefault="00D36A4B">
            <w:pPr>
              <w:rPr>
                <w:rFonts w:ascii="Tahoma" w:hAnsi="Tahoma"/>
                <w:b/>
              </w:rPr>
            </w:pPr>
            <w:r>
              <w:rPr>
                <w:rFonts w:ascii="Tahoma" w:hAnsi="Tahoma"/>
                <w:b/>
              </w:rPr>
              <w:t>Contact Officer:</w:t>
            </w:r>
            <w:bookmarkStart w:id="7" w:name="ContactOfficer"/>
            <w:bookmarkEnd w:id="7"/>
          </w:p>
        </w:tc>
        <w:tc>
          <w:tcPr>
            <w:tcW w:w="4253" w:type="dxa"/>
          </w:tcPr>
          <w:p w:rsidR="001B2160" w:rsidRDefault="00D32176">
            <w:r>
              <w:t>Chris Hardman</w:t>
            </w:r>
          </w:p>
        </w:tc>
        <w:tc>
          <w:tcPr>
            <w:tcW w:w="708" w:type="dxa"/>
          </w:tcPr>
          <w:p w:rsidR="001B2160" w:rsidRDefault="00D36A4B">
            <w:pPr>
              <w:rPr>
                <w:rFonts w:ascii="Tahoma" w:hAnsi="Tahoma"/>
                <w:b/>
              </w:rPr>
            </w:pPr>
            <w:r>
              <w:rPr>
                <w:rFonts w:ascii="Tahoma" w:hAnsi="Tahoma"/>
                <w:b/>
              </w:rPr>
              <w:t>Ext:</w:t>
            </w:r>
          </w:p>
        </w:tc>
        <w:tc>
          <w:tcPr>
            <w:tcW w:w="2410" w:type="dxa"/>
          </w:tcPr>
          <w:p w:rsidR="001B2160" w:rsidRDefault="00D32176">
            <w:r>
              <w:t xml:space="preserve"> 7502</w:t>
            </w:r>
          </w:p>
        </w:tc>
      </w:tr>
    </w:tbl>
    <w:p w:rsidR="001B2160" w:rsidRDefault="00D36A4B">
      <w:pPr>
        <w:numPr>
          <w:ilvl w:val="0"/>
          <w:numId w:val="13"/>
        </w:numPr>
        <w:rPr>
          <w:b/>
        </w:rPr>
      </w:pPr>
      <w:r>
        <w:rPr>
          <w:b/>
        </w:rPr>
        <w:br w:type="page"/>
      </w:r>
      <w:r>
        <w:rPr>
          <w:b/>
        </w:rPr>
        <w:lastRenderedPageBreak/>
        <w:t>BACKGROUND INFORMATION AND OPTIONS</w:t>
      </w:r>
    </w:p>
    <w:p w:rsidR="001B2160" w:rsidRDefault="001B2160">
      <w:pPr>
        <w:tabs>
          <w:tab w:val="left" w:pos="709"/>
        </w:tabs>
      </w:pPr>
    </w:p>
    <w:p w:rsidR="006B13C1" w:rsidRDefault="00AD411D" w:rsidP="00AD411D">
      <w:pPr>
        <w:tabs>
          <w:tab w:val="left" w:pos="709"/>
        </w:tabs>
        <w:ind w:left="703" w:hanging="703"/>
      </w:pPr>
      <w:r>
        <w:t>1.1</w:t>
      </w:r>
      <w:r>
        <w:tab/>
      </w:r>
      <w:r w:rsidR="006B13C1">
        <w:t>On the 6</w:t>
      </w:r>
      <w:r w:rsidR="006B13C1" w:rsidRPr="006B13C1">
        <w:rPr>
          <w:vertAlign w:val="superscript"/>
        </w:rPr>
        <w:t>th</w:t>
      </w:r>
      <w:r w:rsidR="006B13C1">
        <w:t xml:space="preserve"> July 2010, Eric Pickles MP, Secretary of State for Communities and Local Government announced the revocation of Regional Spatial Strategies (RSS) with immediate effect.</w:t>
      </w:r>
    </w:p>
    <w:p w:rsidR="006B13C1" w:rsidRDefault="006B13C1">
      <w:pPr>
        <w:tabs>
          <w:tab w:val="left" w:pos="709"/>
        </w:tabs>
      </w:pPr>
    </w:p>
    <w:p w:rsidR="006B13C1" w:rsidRDefault="00AD411D" w:rsidP="00AD411D">
      <w:pPr>
        <w:tabs>
          <w:tab w:val="left" w:pos="709"/>
        </w:tabs>
        <w:ind w:left="703" w:hanging="703"/>
      </w:pPr>
      <w:r>
        <w:t>1.2</w:t>
      </w:r>
      <w:r>
        <w:tab/>
      </w:r>
      <w:r w:rsidR="006B13C1">
        <w:t>The guidance which followed removed Regional Spatial Strategies from the Development Plan.  Any planning applications considered by the Local Planning Authority must have regard to the Development Plan which for Carlisle then primarily comprised the Carlisle District Local Plan 2001-16 adopted in 2008.  A report to Development Control Committee on the 1</w:t>
      </w:r>
      <w:r w:rsidR="006B13C1" w:rsidRPr="006B13C1">
        <w:rPr>
          <w:vertAlign w:val="superscript"/>
        </w:rPr>
        <w:t>st</w:t>
      </w:r>
      <w:r w:rsidR="00BE5B96">
        <w:t xml:space="preserve"> October set out one of the main gaps arising from removal of RSS in relation to housing targets.  Development Control Committee resolved at that time that the only option was to refer to the Local Plan until such time as new policies are developed.</w:t>
      </w:r>
    </w:p>
    <w:p w:rsidR="00BE5B96" w:rsidRDefault="00BE5B96">
      <w:pPr>
        <w:tabs>
          <w:tab w:val="left" w:pos="709"/>
        </w:tabs>
      </w:pPr>
    </w:p>
    <w:p w:rsidR="00BE5B96" w:rsidRDefault="00AD411D" w:rsidP="00AD411D">
      <w:pPr>
        <w:tabs>
          <w:tab w:val="left" w:pos="709"/>
        </w:tabs>
        <w:ind w:left="703" w:hanging="703"/>
      </w:pPr>
      <w:r>
        <w:t>1.3</w:t>
      </w:r>
      <w:r>
        <w:tab/>
      </w:r>
      <w:r w:rsidR="00BE5B96">
        <w:t>On the 10</w:t>
      </w:r>
      <w:r w:rsidR="00BE5B96" w:rsidRPr="00BE5B96">
        <w:rPr>
          <w:vertAlign w:val="superscript"/>
        </w:rPr>
        <w:t>th</w:t>
      </w:r>
      <w:r w:rsidR="00BE5B96">
        <w:t xml:space="preserve"> November a letter was issued by the Chief Planner at Department for Communities and Local Government.  This letter confirms the outcome of a High Court case whereby Cala Homes had challenged the ability for the Secretary of State to revoke all Regional Spatial Strategies in their entirety.  The effect of this High Court decision is to re-establish Regional Strategies as part of the Development Plan.</w:t>
      </w:r>
    </w:p>
    <w:p w:rsidR="00BE5B96" w:rsidRDefault="00BE5B96">
      <w:pPr>
        <w:tabs>
          <w:tab w:val="left" w:pos="709"/>
        </w:tabs>
      </w:pPr>
    </w:p>
    <w:p w:rsidR="00BE5B96" w:rsidRDefault="00AD411D" w:rsidP="00AD411D">
      <w:pPr>
        <w:tabs>
          <w:tab w:val="left" w:pos="709"/>
        </w:tabs>
        <w:ind w:left="703" w:hanging="703"/>
      </w:pPr>
      <w:r>
        <w:t>1.4</w:t>
      </w:r>
      <w:r>
        <w:tab/>
      </w:r>
      <w:r w:rsidR="00BE5B96">
        <w:t>The Local Planning Authority must therefore once again have regard to Regional Spatial Strategy policies and targets when considering its planning applications.</w:t>
      </w:r>
      <w:r>
        <w:t xml:space="preserve">  </w:t>
      </w:r>
      <w:r w:rsidR="00516407">
        <w:t>Executive</w:t>
      </w:r>
      <w:r>
        <w:t xml:space="preserve"> considered report </w:t>
      </w:r>
      <w:r w:rsidR="00516407">
        <w:t>DS.23/06</w:t>
      </w:r>
      <w:r w:rsidRPr="00AD411D">
        <w:t xml:space="preserve"> </w:t>
      </w:r>
      <w:r>
        <w:t>which provided the City Council’s response to consultation and input into the development of RSS policies and targets.</w:t>
      </w:r>
    </w:p>
    <w:p w:rsidR="00BE5B96" w:rsidRDefault="00BE5B96">
      <w:pPr>
        <w:tabs>
          <w:tab w:val="left" w:pos="709"/>
        </w:tabs>
      </w:pPr>
    </w:p>
    <w:p w:rsidR="00BE5B96" w:rsidRDefault="00AD411D" w:rsidP="00AD411D">
      <w:pPr>
        <w:tabs>
          <w:tab w:val="left" w:pos="709"/>
        </w:tabs>
        <w:ind w:left="703" w:hanging="703"/>
      </w:pPr>
      <w:r>
        <w:t>1.5</w:t>
      </w:r>
      <w:r>
        <w:tab/>
      </w:r>
      <w:r w:rsidR="00BE5B96">
        <w:t>In making this latest announcement the Secretary of State has reaffirmed his commitment to the removal of regional spatial strategy and will now put in place the appropriate legislation through the Localism Bill.  The recent White Paper on Economic Growth also confirmed that changes to planning would be forthcoming through the new Bill.</w:t>
      </w:r>
      <w:r w:rsidR="0025715F">
        <w:t xml:space="preserve">  It therefore remains a clear G</w:t>
      </w:r>
      <w:r w:rsidR="00BE5B96">
        <w:t>overnment commitment to abolish Regional Spatial Strategy.</w:t>
      </w:r>
    </w:p>
    <w:p w:rsidR="00BE5B96" w:rsidRDefault="00BE5B96">
      <w:pPr>
        <w:tabs>
          <w:tab w:val="left" w:pos="709"/>
        </w:tabs>
      </w:pPr>
    </w:p>
    <w:p w:rsidR="00AD411D" w:rsidRDefault="00AD411D" w:rsidP="00AD411D">
      <w:pPr>
        <w:tabs>
          <w:tab w:val="left" w:pos="709"/>
        </w:tabs>
        <w:ind w:left="703" w:hanging="703"/>
      </w:pPr>
      <w:r>
        <w:t>1.6</w:t>
      </w:r>
      <w:r>
        <w:tab/>
      </w:r>
      <w:r w:rsidR="00BE5B96">
        <w:t>In the recent announcement the Chief Planner states that Local Planning Authorities should still have regard to the letter of the 27</w:t>
      </w:r>
      <w:r w:rsidR="00BE5B96" w:rsidRPr="00BE5B96">
        <w:rPr>
          <w:vertAlign w:val="superscript"/>
        </w:rPr>
        <w:t>th</w:t>
      </w:r>
      <w:r w:rsidR="00BE5B96">
        <w:t xml:space="preserve"> May 2010 </w:t>
      </w:r>
      <w:r w:rsidR="0023019C">
        <w:t xml:space="preserve">as a material consideration </w:t>
      </w:r>
      <w:r w:rsidR="00BE5B96">
        <w:t>in any decisions</w:t>
      </w:r>
      <w:r w:rsidR="0025715F">
        <w:t>.  The May letter</w:t>
      </w:r>
      <w:r w:rsidR="00BE5B96">
        <w:t xml:space="preserve"> sets out the </w:t>
      </w:r>
      <w:r>
        <w:t xml:space="preserve">intended policy framework </w:t>
      </w:r>
      <w:r w:rsidR="0025715F">
        <w:t xml:space="preserve">which excluded RSS from development plans </w:t>
      </w:r>
      <w:r>
        <w:t>and issues relating to housing targets</w:t>
      </w:r>
      <w:r w:rsidR="0025715F">
        <w:t xml:space="preserve"> and housing supply</w:t>
      </w:r>
      <w:r>
        <w:t>.  This letter confirms that targets should be set at the local level</w:t>
      </w:r>
      <w:r w:rsidR="0023019C">
        <w:t xml:space="preserve"> and this will now feature in the formal legislative process</w:t>
      </w:r>
      <w:r>
        <w:t xml:space="preserve">.  </w:t>
      </w:r>
    </w:p>
    <w:p w:rsidR="00AD411D" w:rsidRDefault="00AD411D">
      <w:pPr>
        <w:tabs>
          <w:tab w:val="left" w:pos="709"/>
        </w:tabs>
      </w:pPr>
    </w:p>
    <w:p w:rsidR="00AD411D" w:rsidRDefault="00AD411D" w:rsidP="00AD411D">
      <w:pPr>
        <w:tabs>
          <w:tab w:val="left" w:pos="709"/>
        </w:tabs>
        <w:ind w:left="703" w:hanging="703"/>
      </w:pPr>
      <w:r>
        <w:t>1.7</w:t>
      </w:r>
      <w:r>
        <w:tab/>
        <w:t xml:space="preserve">In order to achieve this aim and revisit the targets in an appropriate manner Members will note that report ED.36/10 on this agenda refers to the Issues Paper consultation for the Core Strategy as part of the Local Development Framework.  This is the first stage </w:t>
      </w:r>
      <w:r w:rsidR="0025715F">
        <w:t xml:space="preserve">of </w:t>
      </w:r>
      <w:r>
        <w:t xml:space="preserve">the framework which will provide new policy guidance and </w:t>
      </w:r>
      <w:r w:rsidR="0025715F">
        <w:t>strategy</w:t>
      </w:r>
      <w:r>
        <w:t xml:space="preserve"> for development in Carlisle district.  As part of that process detailed work will be done to develop appropriate targets for housing taking into account local circumstances and consultation.  This will be compliant with the considerations likely to be contained in the Localism Bill.</w:t>
      </w:r>
    </w:p>
    <w:p w:rsidR="00AD411D" w:rsidRDefault="00AD411D">
      <w:pPr>
        <w:tabs>
          <w:tab w:val="left" w:pos="709"/>
        </w:tabs>
      </w:pPr>
    </w:p>
    <w:p w:rsidR="00AD411D" w:rsidRDefault="00AD411D" w:rsidP="00AD411D">
      <w:pPr>
        <w:tabs>
          <w:tab w:val="left" w:pos="709"/>
        </w:tabs>
        <w:ind w:left="703" w:hanging="703"/>
      </w:pPr>
      <w:r>
        <w:t>1.8</w:t>
      </w:r>
      <w:r>
        <w:tab/>
        <w:t>In conclusion, it is therefore appropriate for Members to note that with effect of the letter of the 10</w:t>
      </w:r>
      <w:r w:rsidRPr="00AD411D">
        <w:rPr>
          <w:vertAlign w:val="superscript"/>
        </w:rPr>
        <w:t>th</w:t>
      </w:r>
      <w:r>
        <w:t xml:space="preserve"> November 2010 Regional Spatial Strategy once more forms part of the Development Plan and </w:t>
      </w:r>
      <w:r w:rsidR="0025715F">
        <w:t xml:space="preserve">that any </w:t>
      </w:r>
      <w:r>
        <w:t>new policies and targets will be developed through the Loca</w:t>
      </w:r>
      <w:r w:rsidR="0023019C">
        <w:t>l Development Framework process</w:t>
      </w:r>
      <w:r w:rsidR="0025715F">
        <w:t xml:space="preserve"> (subject to considerations of the Localism Bill)</w:t>
      </w:r>
      <w:r w:rsidR="0023019C">
        <w:t>.</w:t>
      </w:r>
    </w:p>
    <w:p w:rsidR="001B2160" w:rsidRDefault="001B2160">
      <w:pPr>
        <w:tabs>
          <w:tab w:val="left" w:pos="709"/>
        </w:tabs>
      </w:pPr>
    </w:p>
    <w:p w:rsidR="001B2160" w:rsidRDefault="00D36A4B">
      <w:pPr>
        <w:numPr>
          <w:ilvl w:val="0"/>
          <w:numId w:val="13"/>
        </w:numPr>
        <w:rPr>
          <w:b/>
        </w:rPr>
      </w:pPr>
      <w:r>
        <w:rPr>
          <w:b/>
        </w:rPr>
        <w:t>CONSULTATION</w:t>
      </w:r>
    </w:p>
    <w:p w:rsidR="001B2160" w:rsidRDefault="001B2160">
      <w:pPr>
        <w:tabs>
          <w:tab w:val="left" w:pos="709"/>
        </w:tabs>
      </w:pPr>
    </w:p>
    <w:p w:rsidR="001B2160" w:rsidRDefault="00D36A4B">
      <w:pPr>
        <w:numPr>
          <w:ilvl w:val="1"/>
          <w:numId w:val="4"/>
        </w:numPr>
      </w:pPr>
      <w:r>
        <w:t>Consultation to Date.</w:t>
      </w:r>
    </w:p>
    <w:p w:rsidR="001B2160" w:rsidRDefault="0025715F" w:rsidP="0025715F">
      <w:pPr>
        <w:pStyle w:val="Header"/>
        <w:tabs>
          <w:tab w:val="clear" w:pos="4153"/>
          <w:tab w:val="clear" w:pos="8306"/>
          <w:tab w:val="left" w:pos="709"/>
        </w:tabs>
        <w:ind w:left="705"/>
      </w:pPr>
      <w:r>
        <w:tab/>
      </w:r>
      <w:r w:rsidR="00C31ABD">
        <w:t>This paper reflects changing position on Government announcements.  No consultation has been undertaken.</w:t>
      </w:r>
    </w:p>
    <w:p w:rsidR="001B2160" w:rsidRDefault="00D36A4B">
      <w:pPr>
        <w:numPr>
          <w:ilvl w:val="1"/>
          <w:numId w:val="4"/>
        </w:numPr>
      </w:pPr>
      <w:r>
        <w:t>Consultation proposed.</w:t>
      </w:r>
    </w:p>
    <w:p w:rsidR="001B2160" w:rsidRDefault="0025715F" w:rsidP="0025715F">
      <w:pPr>
        <w:pStyle w:val="Header"/>
        <w:tabs>
          <w:tab w:val="clear" w:pos="4153"/>
          <w:tab w:val="clear" w:pos="8306"/>
          <w:tab w:val="left" w:pos="709"/>
        </w:tabs>
        <w:ind w:left="703"/>
      </w:pPr>
      <w:r>
        <w:tab/>
      </w:r>
      <w:r w:rsidR="00C31ABD">
        <w:t>Consultation will be undertaken through the Local Development Framework in relation to new policies and targets.</w:t>
      </w:r>
    </w:p>
    <w:p w:rsidR="001B2160" w:rsidRDefault="001B2160">
      <w:pPr>
        <w:pStyle w:val="Header"/>
        <w:tabs>
          <w:tab w:val="clear" w:pos="4153"/>
          <w:tab w:val="clear" w:pos="8306"/>
          <w:tab w:val="left" w:pos="709"/>
        </w:tabs>
      </w:pPr>
    </w:p>
    <w:p w:rsidR="001B2160" w:rsidRDefault="00D36A4B">
      <w:pPr>
        <w:numPr>
          <w:ilvl w:val="0"/>
          <w:numId w:val="13"/>
        </w:numPr>
        <w:rPr>
          <w:b/>
        </w:rPr>
      </w:pPr>
      <w:r>
        <w:rPr>
          <w:b/>
        </w:rPr>
        <w:t>RECOMMENDATIONS</w:t>
      </w:r>
    </w:p>
    <w:p w:rsidR="00516407" w:rsidRDefault="00516407" w:rsidP="00516407">
      <w:pPr>
        <w:pStyle w:val="Header"/>
        <w:tabs>
          <w:tab w:val="clear" w:pos="4153"/>
          <w:tab w:val="clear" w:pos="8306"/>
        </w:tabs>
        <w:ind w:left="703"/>
      </w:pPr>
      <w:r>
        <w:t xml:space="preserve">That Members note the latest position regarding Regional Spatial Strategy  </w:t>
      </w:r>
    </w:p>
    <w:p w:rsidR="001B2160" w:rsidRDefault="001B2160">
      <w:pPr>
        <w:tabs>
          <w:tab w:val="left" w:pos="709"/>
        </w:tabs>
      </w:pPr>
    </w:p>
    <w:p w:rsidR="001B2160" w:rsidRDefault="00D36A4B">
      <w:pPr>
        <w:numPr>
          <w:ilvl w:val="0"/>
          <w:numId w:val="13"/>
        </w:numPr>
        <w:rPr>
          <w:b/>
        </w:rPr>
      </w:pPr>
      <w:r>
        <w:rPr>
          <w:b/>
        </w:rPr>
        <w:t>REASONS FOR RECOMMENDATIONS</w:t>
      </w:r>
    </w:p>
    <w:p w:rsidR="001B2160" w:rsidRPr="0025715F" w:rsidRDefault="0025715F" w:rsidP="0025715F">
      <w:pPr>
        <w:ind w:left="703"/>
      </w:pPr>
      <w:r w:rsidRPr="0025715F">
        <w:t>To carry out the implications of recent announcements</w:t>
      </w:r>
    </w:p>
    <w:p w:rsidR="001B2160" w:rsidRDefault="001B2160">
      <w:pPr>
        <w:rPr>
          <w:b/>
        </w:rPr>
      </w:pPr>
    </w:p>
    <w:p w:rsidR="001B2160" w:rsidRDefault="00D36A4B">
      <w:pPr>
        <w:numPr>
          <w:ilvl w:val="0"/>
          <w:numId w:val="13"/>
        </w:numPr>
        <w:rPr>
          <w:b/>
        </w:rPr>
      </w:pPr>
      <w:r>
        <w:rPr>
          <w:b/>
        </w:rPr>
        <w:t>IMPLICATIONS</w:t>
      </w:r>
    </w:p>
    <w:p w:rsidR="001B2160" w:rsidRDefault="00D36A4B">
      <w:pPr>
        <w:numPr>
          <w:ilvl w:val="0"/>
          <w:numId w:val="17"/>
        </w:numPr>
        <w:tabs>
          <w:tab w:val="num" w:pos="1063"/>
        </w:tabs>
        <w:ind w:left="1063"/>
      </w:pPr>
      <w:r>
        <w:t xml:space="preserve">Staffing/Resources – </w:t>
      </w:r>
      <w:r w:rsidR="00C31ABD">
        <w:t>Any subsequent work arising from government announcements will be undertaken within the planning policy team of Economic Development</w:t>
      </w:r>
    </w:p>
    <w:p w:rsidR="001B2160" w:rsidRDefault="00D36A4B">
      <w:pPr>
        <w:numPr>
          <w:ilvl w:val="0"/>
          <w:numId w:val="17"/>
        </w:numPr>
        <w:tabs>
          <w:tab w:val="num" w:pos="1063"/>
        </w:tabs>
        <w:ind w:left="1063"/>
      </w:pPr>
      <w:r>
        <w:t xml:space="preserve">Financial – </w:t>
      </w:r>
      <w:r w:rsidR="003F6F52">
        <w:t>n/a</w:t>
      </w:r>
    </w:p>
    <w:p w:rsidR="001B2160" w:rsidRDefault="00D36A4B">
      <w:pPr>
        <w:numPr>
          <w:ilvl w:val="0"/>
          <w:numId w:val="17"/>
        </w:numPr>
        <w:tabs>
          <w:tab w:val="num" w:pos="1063"/>
        </w:tabs>
        <w:ind w:left="1063"/>
      </w:pPr>
      <w:r>
        <w:t xml:space="preserve">Legal – </w:t>
      </w:r>
      <w:r w:rsidR="00C31ABD">
        <w:t>This report refers to</w:t>
      </w:r>
      <w:r w:rsidR="002C1BE9">
        <w:t xml:space="preserve"> the</w:t>
      </w:r>
      <w:r w:rsidR="00C31ABD">
        <w:t xml:space="preserve"> recent</w:t>
      </w:r>
      <w:r w:rsidR="002C1BE9">
        <w:t xml:space="preserve"> successful</w:t>
      </w:r>
      <w:r w:rsidR="00C31ABD">
        <w:t xml:space="preserve"> legal c</w:t>
      </w:r>
      <w:r w:rsidR="002C1BE9">
        <w:t>hallenge to the Government’s decision to revoke Regional Spatial Strategy in the case of Cala Homes South Ltd –v- Secretary of State for Communities and Local Government and Winchester City Council.</w:t>
      </w:r>
    </w:p>
    <w:p w:rsidR="001B2160" w:rsidRDefault="001B2160">
      <w:pPr>
        <w:tabs>
          <w:tab w:val="num" w:pos="1063"/>
        </w:tabs>
      </w:pPr>
    </w:p>
    <w:p w:rsidR="001B2160" w:rsidRDefault="00D36A4B">
      <w:pPr>
        <w:numPr>
          <w:ilvl w:val="0"/>
          <w:numId w:val="17"/>
        </w:numPr>
        <w:tabs>
          <w:tab w:val="num" w:pos="1063"/>
        </w:tabs>
        <w:ind w:left="1063"/>
      </w:pPr>
      <w:r>
        <w:t xml:space="preserve">Corporate – </w:t>
      </w:r>
      <w:r w:rsidR="00C31ABD">
        <w:t>The Council’s priority of the Economy is partly delivered through the planning policy framework and is therefore considered in this report.</w:t>
      </w:r>
    </w:p>
    <w:p w:rsidR="001B2160" w:rsidRDefault="00D36A4B" w:rsidP="00216C0C">
      <w:pPr>
        <w:numPr>
          <w:ilvl w:val="0"/>
          <w:numId w:val="17"/>
        </w:numPr>
        <w:tabs>
          <w:tab w:val="num" w:pos="1063"/>
        </w:tabs>
        <w:ind w:left="1063"/>
      </w:pPr>
      <w:r>
        <w:t xml:space="preserve">Risk Management – </w:t>
      </w:r>
      <w:r w:rsidR="00C31ABD">
        <w:t>Taking changes through the Local Development Framework will enable the council to fulfil the statutory requirements of setting new policies and therefore minimise risk</w:t>
      </w:r>
    </w:p>
    <w:p w:rsidR="00216C0C" w:rsidRDefault="00216C0C" w:rsidP="00216C0C">
      <w:pPr>
        <w:numPr>
          <w:ilvl w:val="0"/>
          <w:numId w:val="17"/>
        </w:numPr>
        <w:tabs>
          <w:tab w:val="num" w:pos="1063"/>
        </w:tabs>
        <w:ind w:left="1063"/>
      </w:pPr>
      <w:r>
        <w:t xml:space="preserve">Environmental – </w:t>
      </w:r>
      <w:r w:rsidR="003F6F52">
        <w:t>n/a</w:t>
      </w:r>
    </w:p>
    <w:p w:rsidR="00216C0C" w:rsidRDefault="00216C0C" w:rsidP="00216C0C">
      <w:pPr>
        <w:numPr>
          <w:ilvl w:val="0"/>
          <w:numId w:val="17"/>
        </w:numPr>
        <w:tabs>
          <w:tab w:val="num" w:pos="1063"/>
        </w:tabs>
        <w:ind w:left="1063"/>
      </w:pPr>
      <w:r>
        <w:t xml:space="preserve">Crime and Disorder – </w:t>
      </w:r>
      <w:r w:rsidR="00C31ABD">
        <w:t>n/a</w:t>
      </w:r>
    </w:p>
    <w:p w:rsidR="00216C0C" w:rsidRDefault="00216C0C" w:rsidP="00216C0C">
      <w:pPr>
        <w:numPr>
          <w:ilvl w:val="0"/>
          <w:numId w:val="19"/>
        </w:numPr>
        <w:tabs>
          <w:tab w:val="clear" w:pos="360"/>
          <w:tab w:val="num" w:pos="1063"/>
        </w:tabs>
        <w:ind w:left="1063"/>
      </w:pPr>
      <w:r>
        <w:t>Impact on Customers –</w:t>
      </w:r>
      <w:r w:rsidR="00C31ABD">
        <w:t xml:space="preserve"> customers are informed of changes that may impact on the consideration of planning matters as and when they arise.</w:t>
      </w:r>
    </w:p>
    <w:p w:rsidR="00216C0C" w:rsidRDefault="00216C0C" w:rsidP="00216C0C">
      <w:pPr>
        <w:numPr>
          <w:ilvl w:val="0"/>
          <w:numId w:val="17"/>
        </w:numPr>
        <w:tabs>
          <w:tab w:val="num" w:pos="1063"/>
        </w:tabs>
        <w:ind w:left="1063"/>
      </w:pPr>
      <w:r>
        <w:t xml:space="preserve"> Equality and Diversity – </w:t>
      </w:r>
    </w:p>
    <w:p w:rsidR="001B2160" w:rsidRDefault="001B2160"/>
    <w:p w:rsidR="00716C2A" w:rsidRPr="00653A63" w:rsidRDefault="00716C2A" w:rsidP="00716C2A">
      <w:pPr>
        <w:spacing w:line="240" w:lineRule="auto"/>
        <w:ind w:left="284"/>
        <w:rPr>
          <w:rFonts w:cs="Arial"/>
          <w:b/>
          <w:szCs w:val="24"/>
        </w:rPr>
      </w:pPr>
      <w:r w:rsidRPr="00653A63">
        <w:rPr>
          <w:rFonts w:cs="Arial"/>
          <w:b/>
          <w:szCs w:val="24"/>
        </w:rPr>
        <w:t>Impact assessments</w:t>
      </w:r>
    </w:p>
    <w:p w:rsidR="00716C2A" w:rsidRPr="00653A63" w:rsidRDefault="00716C2A" w:rsidP="00716C2A">
      <w:pPr>
        <w:spacing w:line="240" w:lineRule="auto"/>
        <w:ind w:left="284"/>
        <w:rPr>
          <w:rFonts w:cs="Arial"/>
          <w:b/>
          <w:szCs w:val="24"/>
        </w:rPr>
      </w:pPr>
    </w:p>
    <w:p w:rsidR="00716C2A" w:rsidRPr="00653A63" w:rsidRDefault="00716C2A" w:rsidP="00716C2A">
      <w:pPr>
        <w:spacing w:line="240" w:lineRule="auto"/>
        <w:ind w:left="284"/>
        <w:rPr>
          <w:rFonts w:cs="Arial"/>
          <w:b/>
          <w:szCs w:val="24"/>
        </w:rPr>
      </w:pPr>
      <w:r w:rsidRPr="00653A63">
        <w:rPr>
          <w:rFonts w:cs="Arial"/>
          <w:b/>
          <w:szCs w:val="24"/>
        </w:rPr>
        <w:t>Does the change have an impact on the following?</w:t>
      </w:r>
    </w:p>
    <w:p w:rsidR="00716C2A" w:rsidRPr="00653A63" w:rsidRDefault="00716C2A" w:rsidP="00716C2A">
      <w:pPr>
        <w:spacing w:line="240" w:lineRule="auto"/>
        <w:rPr>
          <w:rFonts w:cs="Arial"/>
          <w:b/>
          <w:szCs w:val="24"/>
        </w:rPr>
      </w:pPr>
    </w:p>
    <w:tbl>
      <w:tblPr>
        <w:tblW w:w="0" w:type="auto"/>
        <w:jc w:val="center"/>
        <w:tblInd w:w="-1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5"/>
        <w:gridCol w:w="2316"/>
        <w:gridCol w:w="2316"/>
      </w:tblGrid>
      <w:tr w:rsidR="00716C2A" w:rsidRPr="00653A63" w:rsidTr="00C31ABD">
        <w:trPr>
          <w:jc w:val="center"/>
        </w:trPr>
        <w:tc>
          <w:tcPr>
            <w:tcW w:w="4585" w:type="dxa"/>
          </w:tcPr>
          <w:p w:rsidR="00716C2A" w:rsidRPr="00653A63" w:rsidRDefault="00716C2A" w:rsidP="00C31ABD">
            <w:pPr>
              <w:spacing w:line="240" w:lineRule="auto"/>
              <w:jc w:val="center"/>
              <w:rPr>
                <w:rFonts w:cs="Arial"/>
                <w:b/>
                <w:szCs w:val="24"/>
              </w:rPr>
            </w:pPr>
          </w:p>
          <w:p w:rsidR="00716C2A" w:rsidRPr="00653A63" w:rsidRDefault="00716C2A" w:rsidP="00C31ABD">
            <w:pPr>
              <w:spacing w:line="240" w:lineRule="auto"/>
              <w:jc w:val="center"/>
              <w:rPr>
                <w:rFonts w:cs="Arial"/>
                <w:b/>
                <w:szCs w:val="24"/>
              </w:rPr>
            </w:pPr>
            <w:r w:rsidRPr="00653A63">
              <w:rPr>
                <w:rFonts w:cs="Arial"/>
                <w:b/>
                <w:szCs w:val="24"/>
              </w:rPr>
              <w:t>Equality Impact Screening</w:t>
            </w:r>
          </w:p>
        </w:tc>
        <w:tc>
          <w:tcPr>
            <w:tcW w:w="2316" w:type="dxa"/>
          </w:tcPr>
          <w:p w:rsidR="00716C2A" w:rsidRPr="00653A63" w:rsidRDefault="00716C2A" w:rsidP="00C31ABD">
            <w:pPr>
              <w:spacing w:line="240" w:lineRule="auto"/>
              <w:jc w:val="center"/>
              <w:rPr>
                <w:rFonts w:cs="Arial"/>
                <w:b/>
                <w:szCs w:val="24"/>
              </w:rPr>
            </w:pPr>
          </w:p>
          <w:p w:rsidR="00716C2A" w:rsidRPr="00653A63" w:rsidRDefault="00716C2A" w:rsidP="00C31ABD">
            <w:pPr>
              <w:spacing w:line="240" w:lineRule="auto"/>
              <w:jc w:val="center"/>
              <w:rPr>
                <w:rFonts w:cs="Arial"/>
                <w:b/>
                <w:szCs w:val="24"/>
              </w:rPr>
            </w:pPr>
            <w:r w:rsidRPr="00653A63">
              <w:rPr>
                <w:rFonts w:cs="Arial"/>
                <w:b/>
                <w:szCs w:val="24"/>
              </w:rPr>
              <w:t>Impact Yes/No?</w:t>
            </w:r>
          </w:p>
        </w:tc>
        <w:tc>
          <w:tcPr>
            <w:tcW w:w="2316" w:type="dxa"/>
          </w:tcPr>
          <w:p w:rsidR="00716C2A" w:rsidRPr="00653A63" w:rsidRDefault="00716C2A" w:rsidP="00C31ABD">
            <w:pPr>
              <w:spacing w:line="240" w:lineRule="auto"/>
              <w:jc w:val="center"/>
              <w:rPr>
                <w:rFonts w:cs="Arial"/>
                <w:b/>
                <w:szCs w:val="24"/>
              </w:rPr>
            </w:pPr>
            <w:r w:rsidRPr="00653A63">
              <w:rPr>
                <w:rFonts w:cs="Arial"/>
                <w:b/>
                <w:szCs w:val="24"/>
              </w:rPr>
              <w:t>Is the impact positive or negative?</w:t>
            </w:r>
          </w:p>
        </w:tc>
      </w:tr>
      <w:tr w:rsidR="00716C2A" w:rsidRPr="00653A63" w:rsidTr="00C31ABD">
        <w:trPr>
          <w:trHeight w:val="457"/>
          <w:jc w:val="center"/>
        </w:trPr>
        <w:tc>
          <w:tcPr>
            <w:tcW w:w="4585" w:type="dxa"/>
          </w:tcPr>
          <w:p w:rsidR="00716C2A" w:rsidRPr="00653A63" w:rsidRDefault="00716C2A" w:rsidP="00C31ABD">
            <w:pPr>
              <w:keepNext/>
              <w:keepLines/>
              <w:spacing w:line="240" w:lineRule="auto"/>
              <w:outlineLvl w:val="0"/>
              <w:rPr>
                <w:rFonts w:eastAsiaTheme="majorEastAsia" w:cs="Arial"/>
                <w:bCs/>
                <w:szCs w:val="24"/>
              </w:rPr>
            </w:pPr>
          </w:p>
          <w:p w:rsidR="00716C2A" w:rsidRPr="00653A63" w:rsidRDefault="00716C2A" w:rsidP="00C31ABD">
            <w:pPr>
              <w:keepNext/>
              <w:keepLines/>
              <w:spacing w:line="240" w:lineRule="auto"/>
              <w:outlineLvl w:val="0"/>
              <w:rPr>
                <w:rFonts w:eastAsiaTheme="majorEastAsia" w:cs="Arial"/>
                <w:bCs/>
                <w:szCs w:val="24"/>
              </w:rPr>
            </w:pPr>
            <w:r w:rsidRPr="00653A63">
              <w:rPr>
                <w:rFonts w:eastAsiaTheme="majorEastAsia" w:cs="Arial"/>
                <w:bCs/>
                <w:szCs w:val="24"/>
              </w:rPr>
              <w:t>Does the policy/service impact on the following?</w:t>
            </w:r>
          </w:p>
        </w:tc>
        <w:tc>
          <w:tcPr>
            <w:tcW w:w="2316" w:type="dxa"/>
          </w:tcPr>
          <w:p w:rsidR="00716C2A" w:rsidRPr="00653A63" w:rsidRDefault="00716C2A" w:rsidP="00C31ABD">
            <w:pPr>
              <w:keepNext/>
              <w:keepLines/>
              <w:spacing w:line="240" w:lineRule="auto"/>
              <w:jc w:val="center"/>
              <w:outlineLvl w:val="0"/>
              <w:rPr>
                <w:rFonts w:eastAsiaTheme="majorEastAsia" w:cs="Arial"/>
                <w:b/>
                <w:bCs/>
                <w:szCs w:val="24"/>
              </w:rPr>
            </w:pPr>
          </w:p>
        </w:tc>
        <w:tc>
          <w:tcPr>
            <w:tcW w:w="2316" w:type="dxa"/>
          </w:tcPr>
          <w:p w:rsidR="00716C2A" w:rsidRPr="00653A63" w:rsidRDefault="00716C2A" w:rsidP="00C31ABD">
            <w:pPr>
              <w:keepNext/>
              <w:keepLines/>
              <w:spacing w:line="240" w:lineRule="auto"/>
              <w:jc w:val="center"/>
              <w:outlineLvl w:val="0"/>
              <w:rPr>
                <w:rFonts w:eastAsiaTheme="majorEastAsia" w:cs="Arial"/>
                <w:b/>
                <w:bCs/>
                <w:szCs w:val="24"/>
              </w:rPr>
            </w:pPr>
          </w:p>
        </w:tc>
      </w:tr>
      <w:tr w:rsidR="00716C2A" w:rsidRPr="00653A63" w:rsidTr="00C31ABD">
        <w:trPr>
          <w:jc w:val="center"/>
        </w:trPr>
        <w:tc>
          <w:tcPr>
            <w:tcW w:w="4585" w:type="dxa"/>
          </w:tcPr>
          <w:p w:rsidR="00716C2A" w:rsidRPr="00653A63" w:rsidRDefault="00716C2A" w:rsidP="00C31ABD">
            <w:pPr>
              <w:keepNext/>
              <w:keepLines/>
              <w:spacing w:line="240" w:lineRule="auto"/>
              <w:outlineLvl w:val="0"/>
              <w:rPr>
                <w:rFonts w:eastAsiaTheme="majorEastAsia" w:cs="Arial"/>
                <w:bCs/>
                <w:szCs w:val="24"/>
              </w:rPr>
            </w:pPr>
            <w:r w:rsidRPr="00653A63">
              <w:rPr>
                <w:rFonts w:eastAsiaTheme="majorEastAsia" w:cs="Arial"/>
                <w:bCs/>
                <w:szCs w:val="24"/>
              </w:rPr>
              <w:t>Age</w:t>
            </w:r>
          </w:p>
        </w:tc>
        <w:tc>
          <w:tcPr>
            <w:tcW w:w="2316" w:type="dxa"/>
          </w:tcPr>
          <w:p w:rsidR="00716C2A" w:rsidRPr="00653A63" w:rsidRDefault="003F6F52" w:rsidP="00C31ABD">
            <w:pPr>
              <w:keepNext/>
              <w:keepLines/>
              <w:spacing w:line="240" w:lineRule="auto"/>
              <w:jc w:val="center"/>
              <w:outlineLvl w:val="0"/>
              <w:rPr>
                <w:rFonts w:eastAsiaTheme="majorEastAsia" w:cs="Arial"/>
                <w:b/>
                <w:bCs/>
                <w:szCs w:val="24"/>
              </w:rPr>
            </w:pPr>
            <w:r>
              <w:rPr>
                <w:rFonts w:eastAsiaTheme="majorEastAsia" w:cs="Arial"/>
                <w:b/>
                <w:bCs/>
                <w:szCs w:val="24"/>
              </w:rPr>
              <w:t>No</w:t>
            </w:r>
          </w:p>
        </w:tc>
        <w:tc>
          <w:tcPr>
            <w:tcW w:w="2316" w:type="dxa"/>
          </w:tcPr>
          <w:p w:rsidR="00716C2A" w:rsidRPr="00653A63" w:rsidRDefault="00716C2A" w:rsidP="00C31ABD">
            <w:pPr>
              <w:keepNext/>
              <w:keepLines/>
              <w:spacing w:line="240" w:lineRule="auto"/>
              <w:jc w:val="center"/>
              <w:outlineLvl w:val="0"/>
              <w:rPr>
                <w:rFonts w:eastAsiaTheme="majorEastAsia" w:cs="Arial"/>
                <w:b/>
                <w:bCs/>
                <w:szCs w:val="24"/>
              </w:rPr>
            </w:pPr>
          </w:p>
        </w:tc>
      </w:tr>
      <w:tr w:rsidR="00716C2A" w:rsidRPr="00653A63" w:rsidTr="00C31ABD">
        <w:trPr>
          <w:trHeight w:val="137"/>
          <w:jc w:val="center"/>
        </w:trPr>
        <w:tc>
          <w:tcPr>
            <w:tcW w:w="4585" w:type="dxa"/>
          </w:tcPr>
          <w:p w:rsidR="00716C2A" w:rsidRPr="00653A63" w:rsidRDefault="00716C2A" w:rsidP="00C31ABD">
            <w:pPr>
              <w:keepNext/>
              <w:keepLines/>
              <w:spacing w:line="240" w:lineRule="auto"/>
              <w:outlineLvl w:val="0"/>
              <w:rPr>
                <w:rFonts w:eastAsiaTheme="majorEastAsia" w:cs="Arial"/>
                <w:bCs/>
                <w:szCs w:val="24"/>
              </w:rPr>
            </w:pPr>
            <w:r w:rsidRPr="00653A63">
              <w:rPr>
                <w:rFonts w:eastAsiaTheme="majorEastAsia" w:cs="Arial"/>
                <w:bCs/>
                <w:szCs w:val="24"/>
              </w:rPr>
              <w:t>Disability</w:t>
            </w:r>
          </w:p>
        </w:tc>
        <w:tc>
          <w:tcPr>
            <w:tcW w:w="2316" w:type="dxa"/>
          </w:tcPr>
          <w:p w:rsidR="00716C2A" w:rsidRPr="00653A63" w:rsidRDefault="003F6F52" w:rsidP="00C31ABD">
            <w:pPr>
              <w:keepNext/>
              <w:keepLines/>
              <w:spacing w:line="240" w:lineRule="auto"/>
              <w:jc w:val="center"/>
              <w:outlineLvl w:val="0"/>
              <w:rPr>
                <w:rFonts w:eastAsiaTheme="majorEastAsia" w:cs="Arial"/>
                <w:b/>
                <w:bCs/>
                <w:szCs w:val="24"/>
              </w:rPr>
            </w:pPr>
            <w:r>
              <w:rPr>
                <w:rFonts w:eastAsiaTheme="majorEastAsia" w:cs="Arial"/>
                <w:b/>
                <w:bCs/>
                <w:szCs w:val="24"/>
              </w:rPr>
              <w:t>No</w:t>
            </w:r>
          </w:p>
        </w:tc>
        <w:tc>
          <w:tcPr>
            <w:tcW w:w="2316" w:type="dxa"/>
          </w:tcPr>
          <w:p w:rsidR="00716C2A" w:rsidRPr="00653A63" w:rsidRDefault="00716C2A" w:rsidP="00C31ABD">
            <w:pPr>
              <w:keepNext/>
              <w:keepLines/>
              <w:spacing w:line="240" w:lineRule="auto"/>
              <w:jc w:val="center"/>
              <w:outlineLvl w:val="0"/>
              <w:rPr>
                <w:rFonts w:eastAsiaTheme="majorEastAsia" w:cs="Arial"/>
                <w:b/>
                <w:bCs/>
                <w:szCs w:val="24"/>
              </w:rPr>
            </w:pPr>
          </w:p>
        </w:tc>
      </w:tr>
      <w:tr w:rsidR="00716C2A" w:rsidRPr="00653A63" w:rsidTr="00C31ABD">
        <w:trPr>
          <w:trHeight w:val="182"/>
          <w:jc w:val="center"/>
        </w:trPr>
        <w:tc>
          <w:tcPr>
            <w:tcW w:w="4585" w:type="dxa"/>
          </w:tcPr>
          <w:p w:rsidR="00716C2A" w:rsidRPr="00653A63" w:rsidRDefault="00716C2A" w:rsidP="00C31ABD">
            <w:pPr>
              <w:keepNext/>
              <w:keepLines/>
              <w:spacing w:line="240" w:lineRule="auto"/>
              <w:outlineLvl w:val="0"/>
              <w:rPr>
                <w:rFonts w:eastAsiaTheme="majorEastAsia" w:cs="Arial"/>
                <w:bCs/>
                <w:szCs w:val="24"/>
              </w:rPr>
            </w:pPr>
            <w:r w:rsidRPr="00653A63">
              <w:rPr>
                <w:rFonts w:eastAsiaTheme="majorEastAsia" w:cs="Arial"/>
                <w:bCs/>
                <w:szCs w:val="24"/>
              </w:rPr>
              <w:t>Race</w:t>
            </w:r>
          </w:p>
        </w:tc>
        <w:tc>
          <w:tcPr>
            <w:tcW w:w="2316" w:type="dxa"/>
          </w:tcPr>
          <w:p w:rsidR="00716C2A" w:rsidRPr="00653A63" w:rsidRDefault="003F6F52" w:rsidP="00C31ABD">
            <w:pPr>
              <w:keepNext/>
              <w:keepLines/>
              <w:spacing w:line="240" w:lineRule="auto"/>
              <w:jc w:val="center"/>
              <w:outlineLvl w:val="0"/>
              <w:rPr>
                <w:rFonts w:eastAsiaTheme="majorEastAsia" w:cs="Arial"/>
                <w:b/>
                <w:bCs/>
                <w:szCs w:val="24"/>
              </w:rPr>
            </w:pPr>
            <w:r>
              <w:rPr>
                <w:rFonts w:eastAsiaTheme="majorEastAsia" w:cs="Arial"/>
                <w:b/>
                <w:bCs/>
                <w:szCs w:val="24"/>
              </w:rPr>
              <w:t>No</w:t>
            </w:r>
          </w:p>
        </w:tc>
        <w:tc>
          <w:tcPr>
            <w:tcW w:w="2316" w:type="dxa"/>
          </w:tcPr>
          <w:p w:rsidR="00716C2A" w:rsidRPr="00653A63" w:rsidRDefault="00716C2A" w:rsidP="00C31ABD">
            <w:pPr>
              <w:keepNext/>
              <w:keepLines/>
              <w:spacing w:line="240" w:lineRule="auto"/>
              <w:jc w:val="center"/>
              <w:outlineLvl w:val="0"/>
              <w:rPr>
                <w:rFonts w:eastAsiaTheme="majorEastAsia" w:cs="Arial"/>
                <w:b/>
                <w:bCs/>
                <w:szCs w:val="24"/>
              </w:rPr>
            </w:pPr>
          </w:p>
        </w:tc>
      </w:tr>
      <w:tr w:rsidR="00716C2A" w:rsidRPr="00653A63" w:rsidTr="00C31ABD">
        <w:trPr>
          <w:jc w:val="center"/>
        </w:trPr>
        <w:tc>
          <w:tcPr>
            <w:tcW w:w="4585" w:type="dxa"/>
          </w:tcPr>
          <w:p w:rsidR="00716C2A" w:rsidRPr="00653A63" w:rsidRDefault="00716C2A" w:rsidP="00C31ABD">
            <w:pPr>
              <w:keepNext/>
              <w:keepLines/>
              <w:spacing w:line="240" w:lineRule="auto"/>
              <w:outlineLvl w:val="0"/>
              <w:rPr>
                <w:rFonts w:eastAsiaTheme="majorEastAsia" w:cs="Arial"/>
                <w:bCs/>
                <w:szCs w:val="24"/>
              </w:rPr>
            </w:pPr>
            <w:r w:rsidRPr="00653A63">
              <w:rPr>
                <w:rFonts w:eastAsiaTheme="majorEastAsia" w:cs="Arial"/>
                <w:bCs/>
                <w:szCs w:val="24"/>
              </w:rPr>
              <w:t>Gender/ Transgender</w:t>
            </w:r>
          </w:p>
        </w:tc>
        <w:tc>
          <w:tcPr>
            <w:tcW w:w="2316" w:type="dxa"/>
          </w:tcPr>
          <w:p w:rsidR="00716C2A" w:rsidRPr="00653A63" w:rsidRDefault="003F6F52" w:rsidP="00C31ABD">
            <w:pPr>
              <w:keepNext/>
              <w:keepLines/>
              <w:spacing w:line="240" w:lineRule="auto"/>
              <w:jc w:val="center"/>
              <w:outlineLvl w:val="0"/>
              <w:rPr>
                <w:rFonts w:eastAsiaTheme="majorEastAsia" w:cs="Arial"/>
                <w:b/>
                <w:bCs/>
                <w:szCs w:val="24"/>
              </w:rPr>
            </w:pPr>
            <w:r>
              <w:rPr>
                <w:rFonts w:eastAsiaTheme="majorEastAsia" w:cs="Arial"/>
                <w:b/>
                <w:bCs/>
                <w:szCs w:val="24"/>
              </w:rPr>
              <w:t>No</w:t>
            </w:r>
          </w:p>
        </w:tc>
        <w:tc>
          <w:tcPr>
            <w:tcW w:w="2316" w:type="dxa"/>
          </w:tcPr>
          <w:p w:rsidR="00716C2A" w:rsidRPr="00653A63" w:rsidRDefault="00716C2A" w:rsidP="00C31ABD">
            <w:pPr>
              <w:keepNext/>
              <w:keepLines/>
              <w:spacing w:line="240" w:lineRule="auto"/>
              <w:jc w:val="center"/>
              <w:outlineLvl w:val="0"/>
              <w:rPr>
                <w:rFonts w:eastAsiaTheme="majorEastAsia" w:cs="Arial"/>
                <w:b/>
                <w:bCs/>
                <w:szCs w:val="24"/>
              </w:rPr>
            </w:pPr>
          </w:p>
        </w:tc>
      </w:tr>
      <w:tr w:rsidR="00716C2A" w:rsidRPr="00653A63" w:rsidTr="00C31ABD">
        <w:trPr>
          <w:jc w:val="center"/>
        </w:trPr>
        <w:tc>
          <w:tcPr>
            <w:tcW w:w="4585" w:type="dxa"/>
          </w:tcPr>
          <w:p w:rsidR="00716C2A" w:rsidRPr="00653A63" w:rsidRDefault="00716C2A" w:rsidP="00C31ABD">
            <w:pPr>
              <w:keepNext/>
              <w:keepLines/>
              <w:spacing w:line="240" w:lineRule="auto"/>
              <w:outlineLvl w:val="0"/>
              <w:rPr>
                <w:rFonts w:eastAsiaTheme="majorEastAsia" w:cs="Arial"/>
                <w:bCs/>
                <w:szCs w:val="24"/>
              </w:rPr>
            </w:pPr>
            <w:r w:rsidRPr="00653A63">
              <w:rPr>
                <w:rFonts w:eastAsiaTheme="majorEastAsia" w:cs="Arial"/>
                <w:bCs/>
                <w:szCs w:val="24"/>
              </w:rPr>
              <w:t>Sexual Orientation</w:t>
            </w:r>
          </w:p>
        </w:tc>
        <w:tc>
          <w:tcPr>
            <w:tcW w:w="2316" w:type="dxa"/>
          </w:tcPr>
          <w:p w:rsidR="00716C2A" w:rsidRPr="00653A63" w:rsidRDefault="003F6F52" w:rsidP="00C31ABD">
            <w:pPr>
              <w:keepNext/>
              <w:keepLines/>
              <w:spacing w:line="240" w:lineRule="auto"/>
              <w:jc w:val="center"/>
              <w:outlineLvl w:val="0"/>
              <w:rPr>
                <w:rFonts w:eastAsiaTheme="majorEastAsia" w:cs="Arial"/>
                <w:b/>
                <w:bCs/>
                <w:szCs w:val="24"/>
              </w:rPr>
            </w:pPr>
            <w:r>
              <w:rPr>
                <w:rFonts w:eastAsiaTheme="majorEastAsia" w:cs="Arial"/>
                <w:b/>
                <w:bCs/>
                <w:szCs w:val="24"/>
              </w:rPr>
              <w:t>No</w:t>
            </w:r>
          </w:p>
        </w:tc>
        <w:tc>
          <w:tcPr>
            <w:tcW w:w="2316" w:type="dxa"/>
          </w:tcPr>
          <w:p w:rsidR="00716C2A" w:rsidRPr="00653A63" w:rsidRDefault="00716C2A" w:rsidP="00C31ABD">
            <w:pPr>
              <w:keepNext/>
              <w:keepLines/>
              <w:spacing w:line="240" w:lineRule="auto"/>
              <w:jc w:val="center"/>
              <w:outlineLvl w:val="0"/>
              <w:rPr>
                <w:rFonts w:eastAsiaTheme="majorEastAsia" w:cs="Arial"/>
                <w:b/>
                <w:bCs/>
                <w:szCs w:val="24"/>
              </w:rPr>
            </w:pPr>
          </w:p>
        </w:tc>
      </w:tr>
      <w:tr w:rsidR="00716C2A" w:rsidRPr="00653A63" w:rsidTr="00C31ABD">
        <w:trPr>
          <w:jc w:val="center"/>
        </w:trPr>
        <w:tc>
          <w:tcPr>
            <w:tcW w:w="4585" w:type="dxa"/>
          </w:tcPr>
          <w:p w:rsidR="00716C2A" w:rsidRPr="00653A63" w:rsidRDefault="00716C2A" w:rsidP="00C31ABD">
            <w:pPr>
              <w:keepNext/>
              <w:keepLines/>
              <w:spacing w:line="240" w:lineRule="auto"/>
              <w:outlineLvl w:val="0"/>
              <w:rPr>
                <w:rFonts w:eastAsiaTheme="majorEastAsia" w:cs="Arial"/>
                <w:bCs/>
                <w:szCs w:val="24"/>
              </w:rPr>
            </w:pPr>
            <w:r w:rsidRPr="00653A63">
              <w:rPr>
                <w:rFonts w:eastAsiaTheme="majorEastAsia" w:cs="Arial"/>
                <w:bCs/>
                <w:szCs w:val="24"/>
              </w:rPr>
              <w:t>Religion or belief</w:t>
            </w:r>
          </w:p>
        </w:tc>
        <w:tc>
          <w:tcPr>
            <w:tcW w:w="2316" w:type="dxa"/>
          </w:tcPr>
          <w:p w:rsidR="00716C2A" w:rsidRPr="00653A63" w:rsidRDefault="003F6F52" w:rsidP="00C31ABD">
            <w:pPr>
              <w:keepNext/>
              <w:keepLines/>
              <w:spacing w:line="240" w:lineRule="auto"/>
              <w:jc w:val="center"/>
              <w:outlineLvl w:val="0"/>
              <w:rPr>
                <w:rFonts w:eastAsiaTheme="majorEastAsia" w:cs="Arial"/>
                <w:b/>
                <w:bCs/>
                <w:szCs w:val="24"/>
              </w:rPr>
            </w:pPr>
            <w:r>
              <w:rPr>
                <w:rFonts w:eastAsiaTheme="majorEastAsia" w:cs="Arial"/>
                <w:b/>
                <w:bCs/>
                <w:szCs w:val="24"/>
              </w:rPr>
              <w:t>No</w:t>
            </w:r>
          </w:p>
        </w:tc>
        <w:tc>
          <w:tcPr>
            <w:tcW w:w="2316" w:type="dxa"/>
          </w:tcPr>
          <w:p w:rsidR="00716C2A" w:rsidRPr="00653A63" w:rsidRDefault="00716C2A" w:rsidP="00C31ABD">
            <w:pPr>
              <w:keepNext/>
              <w:keepLines/>
              <w:spacing w:line="240" w:lineRule="auto"/>
              <w:jc w:val="center"/>
              <w:outlineLvl w:val="0"/>
              <w:rPr>
                <w:rFonts w:eastAsiaTheme="majorEastAsia" w:cs="Arial"/>
                <w:b/>
                <w:bCs/>
                <w:szCs w:val="24"/>
              </w:rPr>
            </w:pPr>
          </w:p>
        </w:tc>
      </w:tr>
      <w:tr w:rsidR="00716C2A" w:rsidRPr="00653A63" w:rsidTr="00C31ABD">
        <w:trPr>
          <w:jc w:val="center"/>
        </w:trPr>
        <w:tc>
          <w:tcPr>
            <w:tcW w:w="4585" w:type="dxa"/>
          </w:tcPr>
          <w:p w:rsidR="00716C2A" w:rsidRPr="00653A63" w:rsidRDefault="00716C2A" w:rsidP="00C31ABD">
            <w:pPr>
              <w:keepNext/>
              <w:keepLines/>
              <w:spacing w:line="240" w:lineRule="auto"/>
              <w:outlineLvl w:val="0"/>
              <w:rPr>
                <w:rFonts w:eastAsiaTheme="majorEastAsia" w:cs="Arial"/>
                <w:bCs/>
                <w:szCs w:val="24"/>
              </w:rPr>
            </w:pPr>
            <w:r w:rsidRPr="00653A63">
              <w:rPr>
                <w:rFonts w:eastAsiaTheme="majorEastAsia" w:cs="Arial"/>
                <w:bCs/>
                <w:szCs w:val="24"/>
              </w:rPr>
              <w:t>Human Rights</w:t>
            </w:r>
          </w:p>
        </w:tc>
        <w:tc>
          <w:tcPr>
            <w:tcW w:w="2316" w:type="dxa"/>
          </w:tcPr>
          <w:p w:rsidR="00716C2A" w:rsidRPr="00653A63" w:rsidRDefault="003F6F52" w:rsidP="00C31ABD">
            <w:pPr>
              <w:keepNext/>
              <w:keepLines/>
              <w:spacing w:line="240" w:lineRule="auto"/>
              <w:jc w:val="center"/>
              <w:outlineLvl w:val="0"/>
              <w:rPr>
                <w:rFonts w:eastAsiaTheme="majorEastAsia" w:cs="Arial"/>
                <w:b/>
                <w:bCs/>
                <w:szCs w:val="24"/>
              </w:rPr>
            </w:pPr>
            <w:r>
              <w:rPr>
                <w:rFonts w:eastAsiaTheme="majorEastAsia" w:cs="Arial"/>
                <w:b/>
                <w:bCs/>
                <w:szCs w:val="24"/>
              </w:rPr>
              <w:t>No</w:t>
            </w:r>
          </w:p>
        </w:tc>
        <w:tc>
          <w:tcPr>
            <w:tcW w:w="2316" w:type="dxa"/>
          </w:tcPr>
          <w:p w:rsidR="00716C2A" w:rsidRPr="00653A63" w:rsidRDefault="00716C2A" w:rsidP="00C31ABD">
            <w:pPr>
              <w:keepNext/>
              <w:keepLines/>
              <w:spacing w:line="240" w:lineRule="auto"/>
              <w:jc w:val="center"/>
              <w:outlineLvl w:val="0"/>
              <w:rPr>
                <w:rFonts w:eastAsiaTheme="majorEastAsia" w:cs="Arial"/>
                <w:b/>
                <w:bCs/>
                <w:szCs w:val="24"/>
              </w:rPr>
            </w:pPr>
          </w:p>
        </w:tc>
      </w:tr>
      <w:tr w:rsidR="00716C2A" w:rsidRPr="00653A63" w:rsidTr="00C31ABD">
        <w:trPr>
          <w:jc w:val="center"/>
        </w:trPr>
        <w:tc>
          <w:tcPr>
            <w:tcW w:w="4585" w:type="dxa"/>
          </w:tcPr>
          <w:p w:rsidR="00716C2A" w:rsidRPr="00653A63" w:rsidRDefault="00716C2A" w:rsidP="00C31ABD">
            <w:pPr>
              <w:keepNext/>
              <w:keepLines/>
              <w:spacing w:line="240" w:lineRule="auto"/>
              <w:outlineLvl w:val="0"/>
              <w:rPr>
                <w:rFonts w:eastAsiaTheme="majorEastAsia" w:cs="Arial"/>
                <w:bCs/>
                <w:szCs w:val="24"/>
              </w:rPr>
            </w:pPr>
            <w:r w:rsidRPr="00653A63">
              <w:rPr>
                <w:rFonts w:eastAsiaTheme="majorEastAsia" w:cs="Arial"/>
                <w:bCs/>
                <w:szCs w:val="24"/>
              </w:rPr>
              <w:t>Social exclusion</w:t>
            </w:r>
          </w:p>
        </w:tc>
        <w:tc>
          <w:tcPr>
            <w:tcW w:w="2316" w:type="dxa"/>
          </w:tcPr>
          <w:p w:rsidR="00716C2A" w:rsidRPr="00653A63" w:rsidRDefault="003F6F52" w:rsidP="00C31ABD">
            <w:pPr>
              <w:keepNext/>
              <w:keepLines/>
              <w:spacing w:line="240" w:lineRule="auto"/>
              <w:jc w:val="center"/>
              <w:outlineLvl w:val="0"/>
              <w:rPr>
                <w:rFonts w:eastAsiaTheme="majorEastAsia" w:cs="Arial"/>
                <w:b/>
                <w:bCs/>
                <w:szCs w:val="24"/>
              </w:rPr>
            </w:pPr>
            <w:r>
              <w:rPr>
                <w:rFonts w:eastAsiaTheme="majorEastAsia" w:cs="Arial"/>
                <w:b/>
                <w:bCs/>
                <w:szCs w:val="24"/>
              </w:rPr>
              <w:t>No</w:t>
            </w:r>
          </w:p>
        </w:tc>
        <w:tc>
          <w:tcPr>
            <w:tcW w:w="2316" w:type="dxa"/>
          </w:tcPr>
          <w:p w:rsidR="00716C2A" w:rsidRPr="00653A63" w:rsidRDefault="00716C2A" w:rsidP="00C31ABD">
            <w:pPr>
              <w:keepNext/>
              <w:keepLines/>
              <w:spacing w:line="240" w:lineRule="auto"/>
              <w:jc w:val="center"/>
              <w:outlineLvl w:val="0"/>
              <w:rPr>
                <w:rFonts w:eastAsiaTheme="majorEastAsia" w:cs="Arial"/>
                <w:b/>
                <w:bCs/>
                <w:szCs w:val="24"/>
              </w:rPr>
            </w:pPr>
          </w:p>
        </w:tc>
      </w:tr>
      <w:tr w:rsidR="00716C2A" w:rsidRPr="00653A63" w:rsidTr="00C31ABD">
        <w:trPr>
          <w:jc w:val="center"/>
        </w:trPr>
        <w:tc>
          <w:tcPr>
            <w:tcW w:w="4585" w:type="dxa"/>
          </w:tcPr>
          <w:p w:rsidR="00716C2A" w:rsidRPr="00653A63" w:rsidRDefault="00716C2A" w:rsidP="00C31ABD">
            <w:pPr>
              <w:keepNext/>
              <w:keepLines/>
              <w:spacing w:line="240" w:lineRule="auto"/>
              <w:outlineLvl w:val="0"/>
              <w:rPr>
                <w:rFonts w:eastAsiaTheme="majorEastAsia" w:cs="Arial"/>
                <w:bCs/>
                <w:szCs w:val="24"/>
              </w:rPr>
            </w:pPr>
            <w:r w:rsidRPr="00653A63">
              <w:rPr>
                <w:rFonts w:eastAsiaTheme="majorEastAsia" w:cs="Arial"/>
                <w:bCs/>
                <w:szCs w:val="24"/>
              </w:rPr>
              <w:t>Health inequalities</w:t>
            </w:r>
          </w:p>
        </w:tc>
        <w:tc>
          <w:tcPr>
            <w:tcW w:w="2316" w:type="dxa"/>
          </w:tcPr>
          <w:p w:rsidR="00716C2A" w:rsidRPr="00653A63" w:rsidRDefault="003F6F52" w:rsidP="00C31ABD">
            <w:pPr>
              <w:keepNext/>
              <w:keepLines/>
              <w:spacing w:line="240" w:lineRule="auto"/>
              <w:jc w:val="center"/>
              <w:outlineLvl w:val="0"/>
              <w:rPr>
                <w:rFonts w:eastAsiaTheme="majorEastAsia" w:cs="Arial"/>
                <w:b/>
                <w:bCs/>
                <w:szCs w:val="24"/>
              </w:rPr>
            </w:pPr>
            <w:r>
              <w:rPr>
                <w:rFonts w:eastAsiaTheme="majorEastAsia" w:cs="Arial"/>
                <w:b/>
                <w:bCs/>
                <w:szCs w:val="24"/>
              </w:rPr>
              <w:t>No</w:t>
            </w:r>
          </w:p>
        </w:tc>
        <w:tc>
          <w:tcPr>
            <w:tcW w:w="2316" w:type="dxa"/>
          </w:tcPr>
          <w:p w:rsidR="00716C2A" w:rsidRPr="00653A63" w:rsidRDefault="00716C2A" w:rsidP="00C31ABD">
            <w:pPr>
              <w:keepNext/>
              <w:keepLines/>
              <w:spacing w:line="240" w:lineRule="auto"/>
              <w:jc w:val="center"/>
              <w:outlineLvl w:val="0"/>
              <w:rPr>
                <w:rFonts w:eastAsiaTheme="majorEastAsia" w:cs="Arial"/>
                <w:b/>
                <w:bCs/>
                <w:szCs w:val="24"/>
              </w:rPr>
            </w:pPr>
          </w:p>
        </w:tc>
      </w:tr>
      <w:tr w:rsidR="00716C2A" w:rsidRPr="00653A63" w:rsidTr="00C31ABD">
        <w:trPr>
          <w:jc w:val="center"/>
        </w:trPr>
        <w:tc>
          <w:tcPr>
            <w:tcW w:w="4585" w:type="dxa"/>
          </w:tcPr>
          <w:p w:rsidR="00716C2A" w:rsidRPr="00653A63" w:rsidRDefault="00716C2A" w:rsidP="00C31ABD">
            <w:pPr>
              <w:keepNext/>
              <w:keepLines/>
              <w:spacing w:line="240" w:lineRule="auto"/>
              <w:outlineLvl w:val="0"/>
              <w:rPr>
                <w:rFonts w:eastAsiaTheme="majorEastAsia" w:cs="Arial"/>
                <w:bCs/>
                <w:szCs w:val="24"/>
              </w:rPr>
            </w:pPr>
            <w:r w:rsidRPr="00653A63">
              <w:rPr>
                <w:rFonts w:eastAsiaTheme="majorEastAsia" w:cs="Arial"/>
                <w:bCs/>
                <w:szCs w:val="24"/>
              </w:rPr>
              <w:t>Rurality</w:t>
            </w:r>
          </w:p>
        </w:tc>
        <w:tc>
          <w:tcPr>
            <w:tcW w:w="2316" w:type="dxa"/>
          </w:tcPr>
          <w:p w:rsidR="00716C2A" w:rsidRPr="00653A63" w:rsidRDefault="003F6F52" w:rsidP="00C31ABD">
            <w:pPr>
              <w:keepNext/>
              <w:keepLines/>
              <w:spacing w:line="240" w:lineRule="auto"/>
              <w:jc w:val="center"/>
              <w:outlineLvl w:val="0"/>
              <w:rPr>
                <w:rFonts w:eastAsiaTheme="majorEastAsia" w:cs="Arial"/>
                <w:b/>
                <w:bCs/>
                <w:szCs w:val="24"/>
              </w:rPr>
            </w:pPr>
            <w:r>
              <w:rPr>
                <w:rFonts w:eastAsiaTheme="majorEastAsia" w:cs="Arial"/>
                <w:b/>
                <w:bCs/>
                <w:szCs w:val="24"/>
              </w:rPr>
              <w:t>No</w:t>
            </w:r>
          </w:p>
        </w:tc>
        <w:tc>
          <w:tcPr>
            <w:tcW w:w="2316" w:type="dxa"/>
          </w:tcPr>
          <w:p w:rsidR="00716C2A" w:rsidRPr="00653A63" w:rsidRDefault="00716C2A" w:rsidP="00C31ABD">
            <w:pPr>
              <w:keepNext/>
              <w:keepLines/>
              <w:spacing w:line="240" w:lineRule="auto"/>
              <w:jc w:val="center"/>
              <w:outlineLvl w:val="0"/>
              <w:rPr>
                <w:rFonts w:eastAsiaTheme="majorEastAsia" w:cs="Arial"/>
                <w:b/>
                <w:bCs/>
                <w:szCs w:val="24"/>
              </w:rPr>
            </w:pPr>
          </w:p>
        </w:tc>
      </w:tr>
    </w:tbl>
    <w:p w:rsidR="00716C2A" w:rsidRPr="00653A63" w:rsidRDefault="00716C2A" w:rsidP="00716C2A">
      <w:pPr>
        <w:ind w:right="-431"/>
        <w:rPr>
          <w:rFonts w:cs="Arial"/>
          <w:szCs w:val="24"/>
        </w:rPr>
      </w:pPr>
    </w:p>
    <w:p w:rsidR="00716C2A" w:rsidRPr="00653A63" w:rsidRDefault="00716C2A" w:rsidP="00716C2A">
      <w:pPr>
        <w:ind w:right="-431"/>
        <w:rPr>
          <w:rFonts w:cs="Arial"/>
          <w:b/>
          <w:szCs w:val="24"/>
        </w:rPr>
      </w:pPr>
      <w:r w:rsidRPr="00653A63">
        <w:rPr>
          <w:rFonts w:cs="Arial"/>
          <w:b/>
          <w:szCs w:val="24"/>
        </w:rPr>
        <w:t>If you consider there is either no impact or no negative impact, please give reasons:</w:t>
      </w:r>
    </w:p>
    <w:p w:rsidR="00716C2A" w:rsidRPr="00653A63" w:rsidRDefault="00716C2A" w:rsidP="00716C2A">
      <w:pPr>
        <w:ind w:right="-431"/>
        <w:rPr>
          <w:rFonts w:cs="Arial"/>
          <w:b/>
          <w:szCs w:val="24"/>
        </w:rPr>
      </w:pPr>
    </w:p>
    <w:p w:rsidR="00716C2A" w:rsidRPr="00653A63" w:rsidRDefault="003F6F52" w:rsidP="00716C2A">
      <w:pPr>
        <w:ind w:right="-431"/>
        <w:rPr>
          <w:rFonts w:cs="Arial"/>
          <w:b/>
          <w:szCs w:val="24"/>
        </w:rPr>
      </w:pPr>
      <w:r>
        <w:rPr>
          <w:rFonts w:cs="Arial"/>
          <w:b/>
          <w:szCs w:val="24"/>
        </w:rPr>
        <w:t>This report reflects a return to previous policy which was developed through consultation processes and assessed during that development for its impact on equality.</w:t>
      </w:r>
      <w:r w:rsidR="00716C2A" w:rsidRPr="00653A63">
        <w:rPr>
          <w:rFonts w:cs="Arial"/>
          <w:b/>
          <w:szCs w:val="24"/>
        </w:rPr>
        <w:t>..............................................................................................................................................................................................................................................................................................................................................................................................................................</w:t>
      </w:r>
      <w:r>
        <w:rPr>
          <w:rFonts w:cs="Arial"/>
          <w:b/>
          <w:szCs w:val="24"/>
        </w:rPr>
        <w:t>........................</w:t>
      </w:r>
    </w:p>
    <w:p w:rsidR="00716C2A" w:rsidRPr="00653A63" w:rsidRDefault="00716C2A" w:rsidP="00716C2A">
      <w:pPr>
        <w:ind w:right="-431"/>
        <w:rPr>
          <w:rFonts w:cs="Arial"/>
          <w:szCs w:val="24"/>
        </w:rPr>
      </w:pPr>
    </w:p>
    <w:p w:rsidR="00716C2A" w:rsidRPr="00653A63" w:rsidRDefault="00716C2A" w:rsidP="00716C2A">
      <w:pPr>
        <w:ind w:right="-431"/>
        <w:rPr>
          <w:rFonts w:cs="Arial"/>
          <w:b/>
          <w:szCs w:val="24"/>
        </w:rPr>
      </w:pPr>
      <w:r w:rsidRPr="00653A63">
        <w:rPr>
          <w:rFonts w:cs="Arial"/>
          <w:b/>
          <w:szCs w:val="24"/>
        </w:rPr>
        <w:t>If an equality Impact is necessary, please contact the P&amp;P team.</w:t>
      </w:r>
    </w:p>
    <w:sectPr w:rsidR="00716C2A" w:rsidRPr="00653A63" w:rsidSect="001B2160">
      <w:footerReference w:type="default" r:id="rId9"/>
      <w:type w:val="continuous"/>
      <w:pgSz w:w="11906" w:h="16838"/>
      <w:pgMar w:top="964" w:right="1134"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D56" w:rsidRDefault="00785D56">
      <w:pPr>
        <w:spacing w:line="240" w:lineRule="auto"/>
      </w:pPr>
      <w:r>
        <w:separator/>
      </w:r>
    </w:p>
  </w:endnote>
  <w:endnote w:type="continuationSeparator" w:id="0">
    <w:p w:rsidR="00785D56" w:rsidRDefault="00785D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286"/>
    </w:tblGrid>
    <w:tr w:rsidR="00AD411D">
      <w:tc>
        <w:tcPr>
          <w:tcW w:w="9286" w:type="dxa"/>
        </w:tcPr>
        <w:p w:rsidR="00AD411D" w:rsidRDefault="00170B9D">
          <w:pPr>
            <w:pStyle w:val="Footer"/>
            <w:spacing w:line="240" w:lineRule="auto"/>
            <w:rPr>
              <w:rFonts w:ascii="Tahoma" w:hAnsi="Tahoma"/>
              <w:b/>
              <w:sz w:val="18"/>
            </w:rPr>
          </w:pPr>
          <w:r>
            <w:rPr>
              <w:rFonts w:ascii="Tahoma" w:hAnsi="Tahoma"/>
              <w:b/>
              <w:sz w:val="18"/>
            </w:rPr>
            <w:fldChar w:fldCharType="begin"/>
          </w:r>
          <w:r w:rsidR="00AD411D">
            <w:rPr>
              <w:rFonts w:ascii="Tahoma" w:hAnsi="Tahoma"/>
              <w:b/>
              <w:sz w:val="18"/>
            </w:rPr>
            <w:instrText xml:space="preserve"> IF </w:instrText>
          </w:r>
          <w:r>
            <w:rPr>
              <w:rFonts w:ascii="Tahoma" w:hAnsi="Tahoma"/>
              <w:b/>
              <w:sz w:val="18"/>
            </w:rPr>
            <w:fldChar w:fldCharType="begin"/>
          </w:r>
          <w:r w:rsidR="00AD411D">
            <w:rPr>
              <w:rFonts w:ascii="Tahoma" w:hAnsi="Tahoma"/>
              <w:b/>
              <w:sz w:val="18"/>
            </w:rPr>
            <w:instrText xml:space="preserve"> PAGE  \* MERGEFORMAT </w:instrText>
          </w:r>
          <w:r>
            <w:rPr>
              <w:rFonts w:ascii="Tahoma" w:hAnsi="Tahoma"/>
              <w:b/>
              <w:sz w:val="18"/>
            </w:rPr>
            <w:fldChar w:fldCharType="separate"/>
          </w:r>
          <w:r w:rsidR="00793DD4">
            <w:rPr>
              <w:rFonts w:ascii="Tahoma" w:hAnsi="Tahoma"/>
              <w:b/>
              <w:noProof/>
              <w:sz w:val="18"/>
            </w:rPr>
            <w:instrText>1</w:instrText>
          </w:r>
          <w:r>
            <w:rPr>
              <w:rFonts w:ascii="Tahoma" w:hAnsi="Tahoma"/>
              <w:b/>
              <w:sz w:val="18"/>
            </w:rPr>
            <w:fldChar w:fldCharType="end"/>
          </w:r>
          <w:r w:rsidR="00AD411D">
            <w:rPr>
              <w:rFonts w:ascii="Tahoma" w:hAnsi="Tahoma"/>
              <w:b/>
              <w:sz w:val="18"/>
            </w:rPr>
            <w:instrText xml:space="preserve"> = 1 "Note: in compliance with section 100d of the Local Government (Access to Information) Act 1985 the report has been prepared in part from the following papers: None" \* MERGEFORMAT </w:instrText>
          </w:r>
          <w:r w:rsidR="00793DD4">
            <w:rPr>
              <w:rFonts w:ascii="Tahoma" w:hAnsi="Tahoma"/>
              <w:b/>
              <w:sz w:val="18"/>
            </w:rPr>
            <w:fldChar w:fldCharType="separate"/>
          </w:r>
          <w:r w:rsidR="00793DD4">
            <w:rPr>
              <w:rFonts w:ascii="Tahoma" w:hAnsi="Tahoma"/>
              <w:b/>
              <w:noProof/>
              <w:sz w:val="18"/>
            </w:rPr>
            <w:t>Note: in compliance with section 100d of the Local Government (Access to Information) Act 1985 the report has been prepared in part from the following papers: None</w:t>
          </w:r>
          <w:r>
            <w:rPr>
              <w:rFonts w:ascii="Tahoma" w:hAnsi="Tahoma"/>
              <w:b/>
              <w:sz w:val="18"/>
            </w:rPr>
            <w:fldChar w:fldCharType="end"/>
          </w:r>
        </w:p>
      </w:tc>
    </w:tr>
    <w:tr w:rsidR="00AD411D">
      <w:tc>
        <w:tcPr>
          <w:tcW w:w="9286" w:type="dxa"/>
        </w:tcPr>
        <w:p w:rsidR="00AD411D" w:rsidRDefault="00AD411D">
          <w:pPr>
            <w:pStyle w:val="Footer"/>
            <w:spacing w:line="240" w:lineRule="auto"/>
            <w:jc w:val="center"/>
            <w:rPr>
              <w:rFonts w:ascii="Tahoma" w:hAnsi="Tahoma"/>
            </w:rPr>
          </w:pPr>
        </w:p>
        <w:p w:rsidR="00AD411D" w:rsidRDefault="00170B9D">
          <w:pPr>
            <w:pStyle w:val="Footer"/>
            <w:spacing w:line="240" w:lineRule="auto"/>
            <w:jc w:val="center"/>
            <w:rPr>
              <w:rFonts w:ascii="Tahoma" w:hAnsi="Tahoma"/>
            </w:rPr>
          </w:pPr>
          <w:r>
            <w:rPr>
              <w:rFonts w:ascii="Tahoma" w:hAnsi="Tahoma"/>
              <w:b/>
              <w:sz w:val="20"/>
            </w:rPr>
            <w:fldChar w:fldCharType="begin"/>
          </w:r>
          <w:r w:rsidR="00AD411D">
            <w:rPr>
              <w:rFonts w:ascii="Tahoma" w:hAnsi="Tahoma"/>
              <w:b/>
              <w:sz w:val="20"/>
            </w:rPr>
            <w:instrText xml:space="preserve"> PAGE  \* MERGEFORMAT </w:instrText>
          </w:r>
          <w:r>
            <w:rPr>
              <w:rFonts w:ascii="Tahoma" w:hAnsi="Tahoma"/>
              <w:b/>
              <w:sz w:val="20"/>
            </w:rPr>
            <w:fldChar w:fldCharType="separate"/>
          </w:r>
          <w:r w:rsidR="00793DD4">
            <w:rPr>
              <w:rFonts w:ascii="Tahoma" w:hAnsi="Tahoma"/>
              <w:b/>
              <w:noProof/>
              <w:sz w:val="20"/>
            </w:rPr>
            <w:t>1</w:t>
          </w:r>
          <w:r>
            <w:rPr>
              <w:rFonts w:ascii="Tahoma" w:hAnsi="Tahoma"/>
              <w:b/>
              <w:sz w:val="20"/>
            </w:rPr>
            <w:fldChar w:fldCharType="end"/>
          </w:r>
        </w:p>
      </w:tc>
    </w:tr>
  </w:tbl>
  <w:p w:rsidR="00AD411D" w:rsidRDefault="00AD4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D56" w:rsidRDefault="00785D56">
      <w:pPr>
        <w:spacing w:line="240" w:lineRule="auto"/>
      </w:pPr>
      <w:r>
        <w:separator/>
      </w:r>
    </w:p>
  </w:footnote>
  <w:footnote w:type="continuationSeparator" w:id="0">
    <w:p w:rsidR="00785D56" w:rsidRDefault="00785D5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1A68"/>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E3A7502"/>
    <w:multiLevelType w:val="singleLevel"/>
    <w:tmpl w:val="5DC0F326"/>
    <w:lvl w:ilvl="0">
      <w:start w:val="7"/>
      <w:numFmt w:val="decimal"/>
      <w:lvlText w:val="%1."/>
      <w:lvlJc w:val="left"/>
      <w:pPr>
        <w:tabs>
          <w:tab w:val="num" w:pos="705"/>
        </w:tabs>
        <w:ind w:left="705" w:hanging="705"/>
      </w:pPr>
      <w:rPr>
        <w:rFonts w:hint="default"/>
      </w:rPr>
    </w:lvl>
  </w:abstractNum>
  <w:abstractNum w:abstractNumId="2">
    <w:nsid w:val="1D7B3196"/>
    <w:multiLevelType w:val="singleLevel"/>
    <w:tmpl w:val="FD4CD67A"/>
    <w:lvl w:ilvl="0">
      <w:start w:val="1"/>
      <w:numFmt w:val="bullet"/>
      <w:lvlText w:val=""/>
      <w:lvlJc w:val="left"/>
      <w:pPr>
        <w:tabs>
          <w:tab w:val="num" w:pos="360"/>
        </w:tabs>
        <w:ind w:left="360" w:hanging="360"/>
      </w:pPr>
      <w:rPr>
        <w:rFonts w:ascii="Symbol" w:hAnsi="Symbol" w:hint="default"/>
        <w:sz w:val="24"/>
      </w:rPr>
    </w:lvl>
  </w:abstractNum>
  <w:abstractNum w:abstractNumId="3">
    <w:nsid w:val="282958F7"/>
    <w:multiLevelType w:val="singleLevel"/>
    <w:tmpl w:val="5DC0F326"/>
    <w:lvl w:ilvl="0">
      <w:start w:val="1"/>
      <w:numFmt w:val="decimal"/>
      <w:lvlText w:val="%1."/>
      <w:lvlJc w:val="left"/>
      <w:pPr>
        <w:tabs>
          <w:tab w:val="num" w:pos="705"/>
        </w:tabs>
        <w:ind w:left="705" w:hanging="705"/>
      </w:pPr>
      <w:rPr>
        <w:rFonts w:hint="default"/>
      </w:rPr>
    </w:lvl>
  </w:abstractNum>
  <w:abstractNum w:abstractNumId="4">
    <w:nsid w:val="312634DA"/>
    <w:multiLevelType w:val="singleLevel"/>
    <w:tmpl w:val="B7920FAC"/>
    <w:lvl w:ilvl="0">
      <w:start w:val="4"/>
      <w:numFmt w:val="decimal"/>
      <w:lvlText w:val="%1."/>
      <w:lvlJc w:val="left"/>
      <w:pPr>
        <w:tabs>
          <w:tab w:val="num" w:pos="703"/>
        </w:tabs>
        <w:ind w:left="703" w:hanging="703"/>
      </w:pPr>
    </w:lvl>
  </w:abstractNum>
  <w:abstractNum w:abstractNumId="5">
    <w:nsid w:val="35F23CB2"/>
    <w:multiLevelType w:val="singleLevel"/>
    <w:tmpl w:val="65FC1308"/>
    <w:lvl w:ilvl="0">
      <w:start w:val="1"/>
      <w:numFmt w:val="bullet"/>
      <w:lvlText w:val=""/>
      <w:lvlJc w:val="left"/>
      <w:pPr>
        <w:tabs>
          <w:tab w:val="num" w:pos="737"/>
        </w:tabs>
        <w:ind w:left="737" w:hanging="737"/>
      </w:pPr>
      <w:rPr>
        <w:rFonts w:ascii="Symbol" w:hAnsi="Symbol" w:hint="default"/>
      </w:rPr>
    </w:lvl>
  </w:abstractNum>
  <w:abstractNum w:abstractNumId="6">
    <w:nsid w:val="37F85438"/>
    <w:multiLevelType w:val="singleLevel"/>
    <w:tmpl w:val="5DC0F326"/>
    <w:lvl w:ilvl="0">
      <w:start w:val="7"/>
      <w:numFmt w:val="decimal"/>
      <w:lvlText w:val="%1."/>
      <w:lvlJc w:val="left"/>
      <w:pPr>
        <w:tabs>
          <w:tab w:val="num" w:pos="705"/>
        </w:tabs>
        <w:ind w:left="705" w:hanging="705"/>
      </w:pPr>
      <w:rPr>
        <w:rFonts w:hint="default"/>
      </w:rPr>
    </w:lvl>
  </w:abstractNum>
  <w:abstractNum w:abstractNumId="7">
    <w:nsid w:val="391B0655"/>
    <w:multiLevelType w:val="singleLevel"/>
    <w:tmpl w:val="5DC0F326"/>
    <w:lvl w:ilvl="0">
      <w:start w:val="12"/>
      <w:numFmt w:val="decimal"/>
      <w:lvlText w:val="%1."/>
      <w:lvlJc w:val="left"/>
      <w:pPr>
        <w:tabs>
          <w:tab w:val="num" w:pos="705"/>
        </w:tabs>
        <w:ind w:left="705" w:hanging="705"/>
      </w:pPr>
      <w:rPr>
        <w:rFonts w:hint="default"/>
      </w:rPr>
    </w:lvl>
  </w:abstractNum>
  <w:abstractNum w:abstractNumId="8">
    <w:nsid w:val="3DEF2BC4"/>
    <w:multiLevelType w:val="singleLevel"/>
    <w:tmpl w:val="5DC0F326"/>
    <w:lvl w:ilvl="0">
      <w:start w:val="7"/>
      <w:numFmt w:val="decimal"/>
      <w:lvlText w:val="%1."/>
      <w:lvlJc w:val="left"/>
      <w:pPr>
        <w:tabs>
          <w:tab w:val="num" w:pos="705"/>
        </w:tabs>
        <w:ind w:left="705" w:hanging="705"/>
      </w:pPr>
      <w:rPr>
        <w:rFonts w:hint="default"/>
      </w:rPr>
    </w:lvl>
  </w:abstractNum>
  <w:abstractNum w:abstractNumId="9">
    <w:nsid w:val="3E534A01"/>
    <w:multiLevelType w:val="singleLevel"/>
    <w:tmpl w:val="B7920FAC"/>
    <w:lvl w:ilvl="0">
      <w:start w:val="4"/>
      <w:numFmt w:val="decimal"/>
      <w:lvlText w:val="%1."/>
      <w:lvlJc w:val="left"/>
      <w:pPr>
        <w:tabs>
          <w:tab w:val="num" w:pos="703"/>
        </w:tabs>
        <w:ind w:left="703" w:hanging="703"/>
      </w:pPr>
    </w:lvl>
  </w:abstractNum>
  <w:abstractNum w:abstractNumId="10">
    <w:nsid w:val="42B43EE5"/>
    <w:multiLevelType w:val="singleLevel"/>
    <w:tmpl w:val="FD4CD67A"/>
    <w:lvl w:ilvl="0">
      <w:start w:val="1"/>
      <w:numFmt w:val="bullet"/>
      <w:lvlText w:val=""/>
      <w:lvlJc w:val="left"/>
      <w:pPr>
        <w:tabs>
          <w:tab w:val="num" w:pos="360"/>
        </w:tabs>
        <w:ind w:left="360" w:hanging="360"/>
      </w:pPr>
      <w:rPr>
        <w:rFonts w:ascii="Symbol" w:hAnsi="Symbol" w:hint="default"/>
        <w:sz w:val="24"/>
      </w:rPr>
    </w:lvl>
  </w:abstractNum>
  <w:abstractNum w:abstractNumId="11">
    <w:nsid w:val="44052F73"/>
    <w:multiLevelType w:val="singleLevel"/>
    <w:tmpl w:val="B7920FAC"/>
    <w:lvl w:ilvl="0">
      <w:start w:val="4"/>
      <w:numFmt w:val="decimal"/>
      <w:lvlText w:val="%1."/>
      <w:lvlJc w:val="left"/>
      <w:pPr>
        <w:tabs>
          <w:tab w:val="num" w:pos="703"/>
        </w:tabs>
        <w:ind w:left="703" w:hanging="703"/>
      </w:pPr>
    </w:lvl>
  </w:abstractNum>
  <w:abstractNum w:abstractNumId="12">
    <w:nsid w:val="44647A8C"/>
    <w:multiLevelType w:val="multilevel"/>
    <w:tmpl w:val="28047CC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7D87906"/>
    <w:multiLevelType w:val="singleLevel"/>
    <w:tmpl w:val="4AC028D8"/>
    <w:lvl w:ilvl="0">
      <w:start w:val="1"/>
      <w:numFmt w:val="decimal"/>
      <w:lvlText w:val="%1."/>
      <w:lvlJc w:val="left"/>
      <w:pPr>
        <w:tabs>
          <w:tab w:val="num" w:pos="703"/>
        </w:tabs>
        <w:ind w:left="703" w:hanging="703"/>
      </w:pPr>
      <w:rPr>
        <w:b/>
        <w:i w:val="0"/>
      </w:rPr>
    </w:lvl>
  </w:abstractNum>
  <w:abstractNum w:abstractNumId="14">
    <w:nsid w:val="58754BA1"/>
    <w:multiLevelType w:val="singleLevel"/>
    <w:tmpl w:val="5DC0F326"/>
    <w:lvl w:ilvl="0">
      <w:start w:val="7"/>
      <w:numFmt w:val="decimal"/>
      <w:lvlText w:val="%1."/>
      <w:lvlJc w:val="left"/>
      <w:pPr>
        <w:tabs>
          <w:tab w:val="num" w:pos="705"/>
        </w:tabs>
        <w:ind w:left="705" w:hanging="705"/>
      </w:pPr>
      <w:rPr>
        <w:rFonts w:hint="default"/>
      </w:rPr>
    </w:lvl>
  </w:abstractNum>
  <w:abstractNum w:abstractNumId="15">
    <w:nsid w:val="6238571B"/>
    <w:multiLevelType w:val="singleLevel"/>
    <w:tmpl w:val="5DC0F326"/>
    <w:lvl w:ilvl="0">
      <w:start w:val="7"/>
      <w:numFmt w:val="decimal"/>
      <w:lvlText w:val="%1."/>
      <w:lvlJc w:val="left"/>
      <w:pPr>
        <w:tabs>
          <w:tab w:val="num" w:pos="705"/>
        </w:tabs>
        <w:ind w:left="705" w:hanging="705"/>
      </w:pPr>
      <w:rPr>
        <w:rFonts w:hint="default"/>
      </w:rPr>
    </w:lvl>
  </w:abstractNum>
  <w:abstractNum w:abstractNumId="16">
    <w:nsid w:val="749B2EA4"/>
    <w:multiLevelType w:val="singleLevel"/>
    <w:tmpl w:val="FD4CD67A"/>
    <w:lvl w:ilvl="0">
      <w:start w:val="1"/>
      <w:numFmt w:val="bullet"/>
      <w:lvlText w:val=""/>
      <w:lvlJc w:val="left"/>
      <w:pPr>
        <w:tabs>
          <w:tab w:val="num" w:pos="360"/>
        </w:tabs>
        <w:ind w:left="360" w:hanging="360"/>
      </w:pPr>
      <w:rPr>
        <w:rFonts w:ascii="Symbol" w:hAnsi="Symbol" w:hint="default"/>
        <w:sz w:val="24"/>
      </w:rPr>
    </w:lvl>
  </w:abstractNum>
  <w:abstractNum w:abstractNumId="17">
    <w:nsid w:val="7E305598"/>
    <w:multiLevelType w:val="singleLevel"/>
    <w:tmpl w:val="5DC0F326"/>
    <w:lvl w:ilvl="0">
      <w:start w:val="11"/>
      <w:numFmt w:val="decimal"/>
      <w:lvlText w:val="%1."/>
      <w:lvlJc w:val="left"/>
      <w:pPr>
        <w:tabs>
          <w:tab w:val="num" w:pos="705"/>
        </w:tabs>
        <w:ind w:left="705" w:hanging="705"/>
      </w:pPr>
      <w:rPr>
        <w:rFonts w:hint="default"/>
      </w:rPr>
    </w:lvl>
  </w:abstractNum>
  <w:abstractNum w:abstractNumId="18">
    <w:nsid w:val="7F901B4E"/>
    <w:multiLevelType w:val="singleLevel"/>
    <w:tmpl w:val="B7920FAC"/>
    <w:lvl w:ilvl="0">
      <w:start w:val="4"/>
      <w:numFmt w:val="decimal"/>
      <w:lvlText w:val="%1."/>
      <w:lvlJc w:val="left"/>
      <w:pPr>
        <w:tabs>
          <w:tab w:val="num" w:pos="703"/>
        </w:tabs>
        <w:ind w:left="703" w:hanging="703"/>
      </w:pPr>
    </w:lvl>
  </w:abstractNum>
  <w:num w:numId="1">
    <w:abstractNumId w:val="0"/>
  </w:num>
  <w:num w:numId="2">
    <w:abstractNumId w:val="5"/>
  </w:num>
  <w:num w:numId="3">
    <w:abstractNumId w:val="14"/>
  </w:num>
  <w:num w:numId="4">
    <w:abstractNumId w:val="12"/>
  </w:num>
  <w:num w:numId="5">
    <w:abstractNumId w:val="15"/>
  </w:num>
  <w:num w:numId="6">
    <w:abstractNumId w:val="17"/>
  </w:num>
  <w:num w:numId="7">
    <w:abstractNumId w:val="18"/>
  </w:num>
  <w:num w:numId="8">
    <w:abstractNumId w:val="8"/>
  </w:num>
  <w:num w:numId="9">
    <w:abstractNumId w:val="9"/>
  </w:num>
  <w:num w:numId="10">
    <w:abstractNumId w:val="13"/>
  </w:num>
  <w:num w:numId="11">
    <w:abstractNumId w:val="6"/>
  </w:num>
  <w:num w:numId="12">
    <w:abstractNumId w:val="3"/>
  </w:num>
  <w:num w:numId="13">
    <w:abstractNumId w:val="13"/>
  </w:num>
  <w:num w:numId="14">
    <w:abstractNumId w:val="7"/>
  </w:num>
  <w:num w:numId="15">
    <w:abstractNumId w:val="13"/>
  </w:num>
  <w:num w:numId="16">
    <w:abstractNumId w:val="13"/>
  </w:num>
  <w:num w:numId="17">
    <w:abstractNumId w:val="10"/>
  </w:num>
  <w:num w:numId="18">
    <w:abstractNumId w:val="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11265"/>
  </w:hdrShapeDefaults>
  <w:footnotePr>
    <w:footnote w:id="-1"/>
    <w:footnote w:id="0"/>
  </w:footnotePr>
  <w:endnotePr>
    <w:endnote w:id="-1"/>
    <w:endnote w:id="0"/>
  </w:endnotePr>
  <w:compat/>
  <w:rsids>
    <w:rsidRoot w:val="00C31ABD"/>
    <w:rsid w:val="00113F52"/>
    <w:rsid w:val="00170B9D"/>
    <w:rsid w:val="00184CD5"/>
    <w:rsid w:val="001B2160"/>
    <w:rsid w:val="001D1F36"/>
    <w:rsid w:val="00214401"/>
    <w:rsid w:val="00216C0C"/>
    <w:rsid w:val="0023019C"/>
    <w:rsid w:val="0025715F"/>
    <w:rsid w:val="002C1BE9"/>
    <w:rsid w:val="003F6F52"/>
    <w:rsid w:val="00405AC1"/>
    <w:rsid w:val="00481566"/>
    <w:rsid w:val="00494A28"/>
    <w:rsid w:val="004F3996"/>
    <w:rsid w:val="00516407"/>
    <w:rsid w:val="00614492"/>
    <w:rsid w:val="00634080"/>
    <w:rsid w:val="00653A63"/>
    <w:rsid w:val="006B13C1"/>
    <w:rsid w:val="006B76CA"/>
    <w:rsid w:val="006D5F51"/>
    <w:rsid w:val="006F1ED2"/>
    <w:rsid w:val="00716C2A"/>
    <w:rsid w:val="00785D56"/>
    <w:rsid w:val="00793DD4"/>
    <w:rsid w:val="00983CEE"/>
    <w:rsid w:val="009B55F1"/>
    <w:rsid w:val="00A63BAF"/>
    <w:rsid w:val="00A6584E"/>
    <w:rsid w:val="00A73104"/>
    <w:rsid w:val="00A756A4"/>
    <w:rsid w:val="00AD411D"/>
    <w:rsid w:val="00BA09C9"/>
    <w:rsid w:val="00BD7F54"/>
    <w:rsid w:val="00BE5B96"/>
    <w:rsid w:val="00C31ABD"/>
    <w:rsid w:val="00CF3350"/>
    <w:rsid w:val="00D32176"/>
    <w:rsid w:val="00D36A4B"/>
    <w:rsid w:val="00DE6AFD"/>
    <w:rsid w:val="00E5534E"/>
    <w:rsid w:val="00EE0DE2"/>
    <w:rsid w:val="00EE4963"/>
    <w:rsid w:val="00F50F3D"/>
    <w:rsid w:val="00FE7B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60"/>
    <w:pPr>
      <w:spacing w:line="300" w:lineRule="auto"/>
    </w:pPr>
    <w:rPr>
      <w:rFonts w:ascii="Arial" w:hAnsi="Arial"/>
      <w:sz w:val="24"/>
    </w:rPr>
  </w:style>
  <w:style w:type="paragraph" w:styleId="Heading1">
    <w:name w:val="heading 1"/>
    <w:basedOn w:val="Normal"/>
    <w:next w:val="Normal"/>
    <w:qFormat/>
    <w:rsid w:val="001B2160"/>
    <w:pPr>
      <w:keepNext/>
      <w:outlineLvl w:val="0"/>
    </w:pPr>
    <w:rPr>
      <w:rFonts w:ascii="Tahoma" w:hAnsi="Tahoma"/>
      <w:b/>
      <w:spacing w:val="18"/>
      <w:sz w:val="28"/>
    </w:rPr>
  </w:style>
  <w:style w:type="paragraph" w:styleId="Heading2">
    <w:name w:val="heading 2"/>
    <w:basedOn w:val="Normal"/>
    <w:next w:val="Normal"/>
    <w:qFormat/>
    <w:rsid w:val="001B2160"/>
    <w:pPr>
      <w:keepNext/>
      <w:outlineLvl w:val="1"/>
    </w:pPr>
    <w:rPr>
      <w:b/>
      <w:sz w:val="36"/>
    </w:rPr>
  </w:style>
  <w:style w:type="paragraph" w:styleId="Heading3">
    <w:name w:val="heading 3"/>
    <w:basedOn w:val="Normal"/>
    <w:next w:val="Normal"/>
    <w:qFormat/>
    <w:rsid w:val="001B2160"/>
    <w:pPr>
      <w:keepNext/>
      <w:outlineLvl w:val="2"/>
    </w:pPr>
    <w:rPr>
      <w:rFonts w:ascii="Tahoma" w:hAnsi="Tahoma"/>
    </w:rPr>
  </w:style>
  <w:style w:type="paragraph" w:styleId="Heading4">
    <w:name w:val="heading 4"/>
    <w:basedOn w:val="Normal"/>
    <w:next w:val="Normal"/>
    <w:qFormat/>
    <w:rsid w:val="001B2160"/>
    <w:pPr>
      <w:keepNext/>
      <w:outlineLvl w:val="3"/>
    </w:pPr>
    <w:rPr>
      <w:rFonts w:ascii="Tahoma" w:hAnsi="Tahoma"/>
      <w:sz w:val="40"/>
    </w:rPr>
  </w:style>
  <w:style w:type="paragraph" w:styleId="Heading5">
    <w:name w:val="heading 5"/>
    <w:basedOn w:val="Normal"/>
    <w:next w:val="Normal"/>
    <w:qFormat/>
    <w:rsid w:val="001B2160"/>
    <w:pPr>
      <w:keepNext/>
      <w:spacing w:before="25" w:after="120"/>
      <w:jc w:val="center"/>
      <w:outlineLvl w:val="4"/>
    </w:pPr>
    <w:rPr>
      <w:rFonts w:ascii="Tahoma" w:hAnsi="Tahoma"/>
    </w:rPr>
  </w:style>
  <w:style w:type="paragraph" w:styleId="Heading6">
    <w:name w:val="heading 6"/>
    <w:basedOn w:val="Normal"/>
    <w:next w:val="Normal"/>
    <w:qFormat/>
    <w:rsid w:val="001B2160"/>
    <w:pPr>
      <w:keepNext/>
      <w:spacing w:before="60" w:after="40"/>
      <w:outlineLvl w:val="5"/>
    </w:pPr>
    <w:rPr>
      <w:rFonts w:ascii="Tahoma" w:hAnsi="Tahoma"/>
      <w:b/>
      <w:sz w:val="20"/>
    </w:rPr>
  </w:style>
  <w:style w:type="paragraph" w:styleId="Heading7">
    <w:name w:val="heading 7"/>
    <w:basedOn w:val="Normal"/>
    <w:next w:val="Normal"/>
    <w:qFormat/>
    <w:rsid w:val="001B2160"/>
    <w:pPr>
      <w:keepNext/>
      <w:spacing w:before="25" w:after="120"/>
      <w:outlineLvl w:val="6"/>
    </w:pPr>
    <w:rPr>
      <w:b/>
    </w:rPr>
  </w:style>
  <w:style w:type="paragraph" w:styleId="Heading8">
    <w:name w:val="heading 8"/>
    <w:basedOn w:val="Normal"/>
    <w:next w:val="Normal"/>
    <w:qFormat/>
    <w:rsid w:val="001B2160"/>
    <w:pPr>
      <w:keepNext/>
      <w:spacing w:before="360"/>
      <w:outlineLvl w:val="7"/>
    </w:pPr>
    <w:rPr>
      <w:rFonts w:ascii="Tahoma" w:hAnsi="Tahoma"/>
      <w:b/>
      <w:sz w:val="18"/>
    </w:rPr>
  </w:style>
  <w:style w:type="paragraph" w:styleId="Heading9">
    <w:name w:val="heading 9"/>
    <w:basedOn w:val="Normal"/>
    <w:next w:val="Normal"/>
    <w:qFormat/>
    <w:rsid w:val="001B2160"/>
    <w:pPr>
      <w:keepNext/>
      <w:spacing w:before="60"/>
      <w:jc w:val="center"/>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B2160"/>
    <w:pPr>
      <w:tabs>
        <w:tab w:val="center" w:pos="4153"/>
        <w:tab w:val="right" w:pos="8306"/>
      </w:tabs>
    </w:pPr>
  </w:style>
  <w:style w:type="paragraph" w:styleId="Footer">
    <w:name w:val="footer"/>
    <w:basedOn w:val="Normal"/>
    <w:semiHidden/>
    <w:rsid w:val="001B2160"/>
    <w:pPr>
      <w:tabs>
        <w:tab w:val="center" w:pos="4153"/>
        <w:tab w:val="right" w:pos="8306"/>
      </w:tabs>
    </w:pPr>
  </w:style>
  <w:style w:type="character" w:styleId="PageNumber">
    <w:name w:val="page number"/>
    <w:basedOn w:val="DefaultParagraphFont"/>
    <w:semiHidden/>
    <w:rsid w:val="001B2160"/>
  </w:style>
  <w:style w:type="paragraph" w:styleId="BodyText">
    <w:name w:val="Body Text"/>
    <w:basedOn w:val="Normal"/>
    <w:semiHidden/>
    <w:rsid w:val="001B2160"/>
    <w:pPr>
      <w:spacing w:before="25" w:after="120"/>
    </w:pPr>
  </w:style>
  <w:style w:type="paragraph" w:styleId="ListParagraph">
    <w:name w:val="List Paragraph"/>
    <w:basedOn w:val="Normal"/>
    <w:uiPriority w:val="34"/>
    <w:qFormat/>
    <w:rsid w:val="00216C0C"/>
    <w:pPr>
      <w:ind w:left="720"/>
      <w:contextualSpacing/>
    </w:pPr>
  </w:style>
  <w:style w:type="paragraph" w:styleId="BalloonText">
    <w:name w:val="Balloon Text"/>
    <w:basedOn w:val="Normal"/>
    <w:link w:val="BalloonTextChar"/>
    <w:uiPriority w:val="99"/>
    <w:semiHidden/>
    <w:unhideWhenUsed/>
    <w:rsid w:val="00793D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ystem\Word\Standard%20Templates\Executive%20&amp;%20Portfolio%20Holder%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49753-69A9-4D0D-A845-D47B8E1C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 &amp; Portfolio Holder Report</Template>
  <TotalTime>0</TotalTime>
  <Pages>4</Pages>
  <Words>939</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REGIONAL SPATIAL STRATEGY UPDATE</vt:lpstr>
    </vt:vector>
  </TitlesOfParts>
  <Company>Carlisle City Council, I.T. Services</Company>
  <LinksUpToDate>false</LinksUpToDate>
  <CharactersWithSpaces>6658</CharactersWithSpaces>
  <SharedDoc>false</SharedDoc>
  <HLinks>
    <vt:vector size="6" baseType="variant">
      <vt:variant>
        <vt:i4>5832707</vt:i4>
      </vt:variant>
      <vt:variant>
        <vt:i4>-1</vt:i4>
      </vt:variant>
      <vt:variant>
        <vt:i4>1096</vt:i4>
      </vt:variant>
      <vt:variant>
        <vt:i4>1</vt:i4>
      </vt:variant>
      <vt:variant>
        <vt:lpwstr>H:\My Documents\cclogojpeg.jpg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SPATIAL STRATEGY UPDATE</dc:title>
  <dc:subject/>
  <dc:creator> </dc:creator>
  <cp:keywords/>
  <dc:description/>
  <cp:lastModifiedBy>RachelR</cp:lastModifiedBy>
  <cp:revision>2</cp:revision>
  <cp:lastPrinted>2010-11-12T14:53:00Z</cp:lastPrinted>
  <dcterms:created xsi:type="dcterms:W3CDTF">2010-11-12T14:53:00Z</dcterms:created>
  <dcterms:modified xsi:type="dcterms:W3CDTF">2010-11-12T14:53:00Z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 Reference">
    <vt:lpwstr/>
  </property>
</Properties>
</file>