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794" w:type="dxa"/>
        <w:tblLayout w:type="fixed"/>
        <w:tblLook w:val="0000"/>
      </w:tblPr>
      <w:tblGrid>
        <w:gridCol w:w="5953"/>
      </w:tblGrid>
      <w:tr w:rsidR="00CF717B">
        <w:trPr>
          <w:trHeight w:val="1583"/>
        </w:trPr>
        <w:tc>
          <w:tcPr>
            <w:tcW w:w="5953" w:type="dxa"/>
            <w:tcBorders>
              <w:bottom w:val="nil"/>
            </w:tcBorders>
          </w:tcPr>
          <w:p w:rsidR="00CF717B" w:rsidRDefault="00DB72A8">
            <w:pPr>
              <w:pStyle w:val="Header"/>
              <w:rPr>
                <w:b/>
                <w:caps/>
                <w:noProof/>
                <w:sz w:val="40"/>
              </w:rPr>
            </w:pPr>
            <w:r>
              <w:rPr>
                <w:b/>
                <w:caps/>
                <w:noProof/>
                <w:sz w:val="40"/>
              </w:rPr>
              <w:t>RESOURCES OVERVIEW AND SCRUTINY PANEL</w:t>
            </w:r>
            <w:r w:rsidR="00450713">
              <w:rPr>
                <w:b/>
                <w:caps/>
                <w:noProof/>
                <w:sz w:val="40"/>
              </w:rPr>
              <w:drawing>
                <wp:anchor distT="0" distB="0" distL="114300" distR="114300" simplePos="0" relativeHeight="251657728" behindDoc="0" locked="0" layoutInCell="0" allowOverlap="1">
                  <wp:simplePos x="0" y="0"/>
                  <wp:positionH relativeFrom="column">
                    <wp:posOffset>10795</wp:posOffset>
                  </wp:positionH>
                  <wp:positionV relativeFrom="page">
                    <wp:posOffset>972185</wp:posOffset>
                  </wp:positionV>
                  <wp:extent cx="1457325" cy="1251585"/>
                  <wp:effectExtent l="19050" t="0" r="9525" b="0"/>
                  <wp:wrapNone/>
                  <wp:docPr id="72" name="Picture 72" descr="H:\My Documents\cclogojpe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H:\My Documents\cclogojpeg.jpg"/>
                          <pic:cNvPicPr preferRelativeResize="0">
                            <a:picLocks noChangeArrowheads="1"/>
                          </pic:cNvPicPr>
                        </pic:nvPicPr>
                        <pic:blipFill>
                          <a:blip r:embed="rId7" cstate="print"/>
                          <a:srcRect/>
                          <a:stretch>
                            <a:fillRect/>
                          </a:stretch>
                        </pic:blipFill>
                        <pic:spPr bwMode="auto">
                          <a:xfrm>
                            <a:off x="0" y="0"/>
                            <a:ext cx="1457325" cy="1251585"/>
                          </a:xfrm>
                          <a:prstGeom prst="rect">
                            <a:avLst/>
                          </a:prstGeom>
                          <a:noFill/>
                          <a:ln w="9525">
                            <a:noFill/>
                            <a:miter lim="800000"/>
                            <a:headEnd/>
                            <a:tailEnd/>
                          </a:ln>
                        </pic:spPr>
                      </pic:pic>
                    </a:graphicData>
                  </a:graphic>
                </wp:anchor>
              </w:drawing>
            </w:r>
          </w:p>
        </w:tc>
      </w:tr>
    </w:tbl>
    <w:p w:rsidR="00CF717B" w:rsidRDefault="00CF717B">
      <w:pPr>
        <w:rPr>
          <w:rFonts w:ascii="Tahoma" w:hAnsi="Tahoma"/>
          <w:b/>
          <w:sz w:val="28"/>
        </w:rPr>
      </w:pPr>
    </w:p>
    <w:p w:rsidR="00CF717B" w:rsidRDefault="00AA19D3">
      <w:pPr>
        <w:jc w:val="center"/>
        <w:rPr>
          <w:b/>
          <w:i/>
          <w:sz w:val="40"/>
        </w:rPr>
      </w:pPr>
      <w:r>
        <w:rPr>
          <w:b/>
          <w:i/>
          <w:sz w:val="40"/>
        </w:rPr>
        <w:t>Panel</w:t>
      </w:r>
      <w:r w:rsidR="00116924">
        <w:rPr>
          <w:b/>
          <w:i/>
          <w:sz w:val="40"/>
        </w:rPr>
        <w:t xml:space="preserve"> Report</w:t>
      </w:r>
    </w:p>
    <w:p w:rsidR="00CF717B" w:rsidRDefault="00CF717B">
      <w:pPr>
        <w:rPr>
          <w:b/>
          <w:sz w:val="28"/>
        </w:rPr>
      </w:pPr>
    </w:p>
    <w:tbl>
      <w:tblPr>
        <w:tblW w:w="0" w:type="auto"/>
        <w:tblInd w:w="-34" w:type="dxa"/>
        <w:tblLayout w:type="fixed"/>
        <w:tblLook w:val="0000"/>
      </w:tblPr>
      <w:tblGrid>
        <w:gridCol w:w="2269"/>
        <w:gridCol w:w="7654"/>
      </w:tblGrid>
      <w:tr w:rsidR="00CF717B">
        <w:trPr>
          <w:cantSplit/>
        </w:trPr>
        <w:tc>
          <w:tcPr>
            <w:tcW w:w="9923" w:type="dxa"/>
            <w:gridSpan w:val="2"/>
          </w:tcPr>
          <w:p w:rsidR="00CF717B" w:rsidRDefault="00DB72A8">
            <w:pPr>
              <w:pStyle w:val="Header"/>
              <w:tabs>
                <w:tab w:val="clear" w:pos="4153"/>
                <w:tab w:val="clear" w:pos="8306"/>
              </w:tabs>
            </w:pPr>
            <w:bookmarkStart w:id="0" w:name="PublicPrivate"/>
            <w:bookmarkEnd w:id="0"/>
            <w:r>
              <w:rPr>
                <w:b/>
              </w:rPr>
              <w:t>Public</w:t>
            </w:r>
          </w:p>
        </w:tc>
      </w:tr>
      <w:tr w:rsidR="00CF717B">
        <w:trPr>
          <w:cantSplit/>
        </w:trPr>
        <w:tc>
          <w:tcPr>
            <w:tcW w:w="9923" w:type="dxa"/>
            <w:gridSpan w:val="2"/>
          </w:tcPr>
          <w:p w:rsidR="00CF717B" w:rsidRDefault="00CF717B">
            <w:pPr>
              <w:pStyle w:val="Header"/>
              <w:tabs>
                <w:tab w:val="clear" w:pos="4153"/>
                <w:tab w:val="clear" w:pos="8306"/>
              </w:tabs>
              <w:rPr>
                <w:sz w:val="20"/>
              </w:rPr>
            </w:pPr>
            <w:bookmarkStart w:id="1" w:name="NotForPublication"/>
            <w:bookmarkEnd w:id="1"/>
          </w:p>
        </w:tc>
      </w:tr>
      <w:tr w:rsidR="00CF717B">
        <w:trPr>
          <w:cantSplit/>
        </w:trPr>
        <w:tc>
          <w:tcPr>
            <w:tcW w:w="2269" w:type="dxa"/>
          </w:tcPr>
          <w:p w:rsidR="00CF717B" w:rsidRDefault="00CF717B">
            <w:pPr>
              <w:pStyle w:val="Header"/>
              <w:tabs>
                <w:tab w:val="clear" w:pos="4153"/>
                <w:tab w:val="clear" w:pos="8306"/>
              </w:tabs>
              <w:rPr>
                <w:rFonts w:ascii="Tahoma" w:hAnsi="Tahoma"/>
                <w:b/>
                <w:sz w:val="28"/>
              </w:rPr>
            </w:pPr>
          </w:p>
          <w:p w:rsidR="00CF717B" w:rsidRDefault="00116924">
            <w:pPr>
              <w:pStyle w:val="Header"/>
              <w:tabs>
                <w:tab w:val="clear" w:pos="4153"/>
                <w:tab w:val="clear" w:pos="8306"/>
              </w:tabs>
              <w:rPr>
                <w:b/>
              </w:rPr>
            </w:pPr>
            <w:r>
              <w:rPr>
                <w:b/>
              </w:rPr>
              <w:t>Date of Meeting:</w:t>
            </w:r>
          </w:p>
          <w:p w:rsidR="00CF717B" w:rsidRDefault="00CF717B">
            <w:pPr>
              <w:pStyle w:val="Header"/>
              <w:tabs>
                <w:tab w:val="clear" w:pos="4153"/>
                <w:tab w:val="clear" w:pos="8306"/>
              </w:tabs>
              <w:rPr>
                <w:b/>
              </w:rPr>
            </w:pPr>
          </w:p>
        </w:tc>
        <w:tc>
          <w:tcPr>
            <w:tcW w:w="7654" w:type="dxa"/>
          </w:tcPr>
          <w:p w:rsidR="00CF717B" w:rsidRDefault="00CF717B">
            <w:pPr>
              <w:pStyle w:val="Header"/>
              <w:tabs>
                <w:tab w:val="clear" w:pos="4153"/>
                <w:tab w:val="clear" w:pos="8306"/>
              </w:tabs>
              <w:rPr>
                <w:rFonts w:ascii="Tahoma" w:hAnsi="Tahoma"/>
                <w:b/>
                <w:sz w:val="28"/>
              </w:rPr>
            </w:pPr>
          </w:p>
          <w:p w:rsidR="00CF717B" w:rsidRDefault="00DB72A8">
            <w:pPr>
              <w:pStyle w:val="Header"/>
              <w:tabs>
                <w:tab w:val="clear" w:pos="4153"/>
                <w:tab w:val="clear" w:pos="8306"/>
              </w:tabs>
              <w:rPr>
                <w:b/>
              </w:rPr>
            </w:pPr>
            <w:bookmarkStart w:id="2" w:name="DateOfMeeting"/>
            <w:bookmarkEnd w:id="2"/>
            <w:r>
              <w:rPr>
                <w:b/>
              </w:rPr>
              <w:t>29th July 2010</w:t>
            </w:r>
          </w:p>
        </w:tc>
      </w:tr>
      <w:tr w:rsidR="00CF717B">
        <w:tc>
          <w:tcPr>
            <w:tcW w:w="2269" w:type="dxa"/>
          </w:tcPr>
          <w:p w:rsidR="00CF717B" w:rsidRDefault="00116924">
            <w:pPr>
              <w:pStyle w:val="Heading8"/>
              <w:spacing w:before="0"/>
              <w:rPr>
                <w:rFonts w:ascii="Arial" w:hAnsi="Arial"/>
                <w:sz w:val="24"/>
              </w:rPr>
            </w:pPr>
            <w:r>
              <w:rPr>
                <w:rFonts w:ascii="Arial" w:hAnsi="Arial"/>
                <w:sz w:val="24"/>
              </w:rPr>
              <w:t>Title:</w:t>
            </w:r>
          </w:p>
          <w:p w:rsidR="00CF717B" w:rsidRDefault="00CF717B"/>
        </w:tc>
        <w:tc>
          <w:tcPr>
            <w:tcW w:w="7654" w:type="dxa"/>
          </w:tcPr>
          <w:p w:rsidR="00CF717B" w:rsidRDefault="00DB72A8">
            <w:pPr>
              <w:rPr>
                <w:b/>
              </w:rPr>
            </w:pPr>
            <w:bookmarkStart w:id="3" w:name="Title"/>
            <w:bookmarkEnd w:id="3"/>
            <w:r>
              <w:rPr>
                <w:b/>
              </w:rPr>
              <w:t>USE OF CONSULTANTS TASK &amp; FINISH GROUP</w:t>
            </w:r>
          </w:p>
        </w:tc>
      </w:tr>
      <w:tr w:rsidR="00CF717B">
        <w:tc>
          <w:tcPr>
            <w:tcW w:w="2269" w:type="dxa"/>
          </w:tcPr>
          <w:p w:rsidR="00CF717B" w:rsidRDefault="00116924">
            <w:pPr>
              <w:pStyle w:val="Heading8"/>
              <w:spacing w:before="0"/>
              <w:rPr>
                <w:rFonts w:ascii="Arial" w:hAnsi="Arial"/>
                <w:sz w:val="24"/>
              </w:rPr>
            </w:pPr>
            <w:r>
              <w:rPr>
                <w:rFonts w:ascii="Arial" w:hAnsi="Arial"/>
                <w:sz w:val="24"/>
              </w:rPr>
              <w:t>Report of:</w:t>
            </w:r>
          </w:p>
          <w:p w:rsidR="00CF717B" w:rsidRDefault="00CF717B"/>
        </w:tc>
        <w:tc>
          <w:tcPr>
            <w:tcW w:w="7654" w:type="dxa"/>
          </w:tcPr>
          <w:p w:rsidR="00CF717B" w:rsidRDefault="001B0415">
            <w:pPr>
              <w:rPr>
                <w:b/>
              </w:rPr>
            </w:pPr>
            <w:bookmarkStart w:id="4" w:name="ReportOf"/>
            <w:bookmarkEnd w:id="4"/>
            <w:r>
              <w:rPr>
                <w:b/>
              </w:rPr>
              <w:t xml:space="preserve">Cllr Hendry, </w:t>
            </w:r>
            <w:r w:rsidR="00DB72A8">
              <w:rPr>
                <w:b/>
              </w:rPr>
              <w:t>Chair of Task and Finish Group</w:t>
            </w:r>
          </w:p>
        </w:tc>
      </w:tr>
      <w:tr w:rsidR="00CF717B">
        <w:tc>
          <w:tcPr>
            <w:tcW w:w="2269" w:type="dxa"/>
          </w:tcPr>
          <w:p w:rsidR="00CF717B" w:rsidRDefault="00116924">
            <w:pPr>
              <w:pStyle w:val="Heading8"/>
              <w:spacing w:before="0" w:after="60"/>
              <w:rPr>
                <w:rFonts w:ascii="Arial" w:hAnsi="Arial"/>
                <w:sz w:val="24"/>
              </w:rPr>
            </w:pPr>
            <w:r>
              <w:rPr>
                <w:rFonts w:ascii="Arial" w:hAnsi="Arial"/>
                <w:sz w:val="24"/>
              </w:rPr>
              <w:t>Report reference:</w:t>
            </w:r>
          </w:p>
        </w:tc>
        <w:tc>
          <w:tcPr>
            <w:tcW w:w="7654" w:type="dxa"/>
          </w:tcPr>
          <w:p w:rsidR="00CF717B" w:rsidRDefault="001B0415">
            <w:pPr>
              <w:rPr>
                <w:b/>
              </w:rPr>
            </w:pPr>
            <w:bookmarkStart w:id="5" w:name="ReportReference"/>
            <w:bookmarkEnd w:id="5"/>
            <w:r>
              <w:rPr>
                <w:b/>
              </w:rPr>
              <w:t>OS17/10</w:t>
            </w:r>
          </w:p>
        </w:tc>
      </w:tr>
    </w:tbl>
    <w:p w:rsidR="00CF717B" w:rsidRDefault="00CF717B">
      <w:pPr>
        <w:pStyle w:val="Header"/>
        <w:tabs>
          <w:tab w:val="clear" w:pos="4153"/>
          <w:tab w:val="clear" w:pos="8306"/>
        </w:tabs>
        <w:rPr>
          <w:b/>
        </w:rPr>
      </w:pPr>
    </w:p>
    <w:p w:rsidR="00CF717B" w:rsidRDefault="00CF717B">
      <w:pPr>
        <w:pStyle w:val="Header"/>
        <w:tabs>
          <w:tab w:val="clear" w:pos="4153"/>
          <w:tab w:val="clear" w:pos="8306"/>
        </w:tabs>
        <w:rPr>
          <w:b/>
        </w:rPr>
      </w:pPr>
    </w:p>
    <w:p w:rsidR="00CF717B" w:rsidRDefault="00116924">
      <w:pPr>
        <w:pStyle w:val="Header"/>
        <w:tabs>
          <w:tab w:val="clear" w:pos="4153"/>
          <w:tab w:val="clear" w:pos="8306"/>
        </w:tabs>
        <w:rPr>
          <w:b/>
        </w:rPr>
      </w:pPr>
      <w:r>
        <w:rPr>
          <w:b/>
        </w:rPr>
        <w:t>Summary:</w:t>
      </w:r>
      <w:r w:rsidR="001834C6">
        <w:rPr>
          <w:b/>
        </w:rPr>
        <w:t xml:space="preserve"> </w:t>
      </w:r>
    </w:p>
    <w:p w:rsidR="00CF717B" w:rsidRDefault="005A2E9D">
      <w:pPr>
        <w:pStyle w:val="Header"/>
        <w:tabs>
          <w:tab w:val="clear" w:pos="4153"/>
          <w:tab w:val="clear" w:pos="8306"/>
        </w:tabs>
      </w:pPr>
      <w:bookmarkStart w:id="6" w:name="StartOfText"/>
      <w:bookmarkEnd w:id="6"/>
      <w:r>
        <w:t>This report is to update Members of ROSP on the current position regarding the Use of Consultants Task and Finish Group and invites Members to comment on the proposals to temporary suspend the Task Groups work.</w:t>
      </w:r>
    </w:p>
    <w:p w:rsidR="00CF717B" w:rsidRDefault="00CF717B">
      <w:pPr>
        <w:pStyle w:val="Header"/>
        <w:tabs>
          <w:tab w:val="clear" w:pos="4153"/>
          <w:tab w:val="clear" w:pos="8306"/>
        </w:tabs>
      </w:pPr>
    </w:p>
    <w:p w:rsidR="00CF717B" w:rsidRDefault="00116924">
      <w:pPr>
        <w:pStyle w:val="Header"/>
        <w:tabs>
          <w:tab w:val="clear" w:pos="4153"/>
          <w:tab w:val="clear" w:pos="8306"/>
        </w:tabs>
        <w:rPr>
          <w:b/>
        </w:rPr>
      </w:pPr>
      <w:r>
        <w:rPr>
          <w:b/>
        </w:rPr>
        <w:t>Recommendations:</w:t>
      </w:r>
    </w:p>
    <w:p w:rsidR="00CF717B" w:rsidRDefault="005A2E9D">
      <w:pPr>
        <w:pStyle w:val="Header"/>
        <w:tabs>
          <w:tab w:val="clear" w:pos="4153"/>
          <w:tab w:val="clear" w:pos="8306"/>
        </w:tabs>
        <w:rPr>
          <w:b/>
        </w:rPr>
      </w:pPr>
      <w:r>
        <w:rPr>
          <w:b/>
        </w:rPr>
        <w:t>That Members approve the proposal that the Task and Finish Group temporary suspend their scrutiny review until staff are transferred from Carlisle Renaissance to the City Council.</w:t>
      </w:r>
    </w:p>
    <w:p w:rsidR="005A2E9D" w:rsidRDefault="005A2E9D">
      <w:pPr>
        <w:pStyle w:val="Header"/>
        <w:tabs>
          <w:tab w:val="clear" w:pos="4153"/>
          <w:tab w:val="clear" w:pos="8306"/>
        </w:tabs>
        <w:rPr>
          <w:b/>
        </w:rPr>
      </w:pPr>
    </w:p>
    <w:p w:rsidR="00CF717B" w:rsidRDefault="00CF717B">
      <w:pPr>
        <w:pStyle w:val="Header"/>
        <w:tabs>
          <w:tab w:val="clear" w:pos="4153"/>
          <w:tab w:val="clear" w:pos="8306"/>
        </w:tabs>
        <w:rPr>
          <w:b/>
        </w:rPr>
      </w:pPr>
    </w:p>
    <w:tbl>
      <w:tblPr>
        <w:tblW w:w="0" w:type="auto"/>
        <w:tblInd w:w="-34" w:type="dxa"/>
        <w:tblLayout w:type="fixed"/>
        <w:tblLook w:val="0000"/>
      </w:tblPr>
      <w:tblGrid>
        <w:gridCol w:w="2552"/>
        <w:gridCol w:w="4253"/>
        <w:gridCol w:w="708"/>
        <w:gridCol w:w="2410"/>
      </w:tblGrid>
      <w:tr w:rsidR="00CF717B">
        <w:tc>
          <w:tcPr>
            <w:tcW w:w="2552" w:type="dxa"/>
          </w:tcPr>
          <w:p w:rsidR="00CF717B" w:rsidRDefault="00116924">
            <w:pPr>
              <w:rPr>
                <w:b/>
              </w:rPr>
            </w:pPr>
            <w:r>
              <w:rPr>
                <w:b/>
              </w:rPr>
              <w:t>Contact Officer:</w:t>
            </w:r>
            <w:bookmarkStart w:id="7" w:name="ContactOfficer"/>
            <w:bookmarkEnd w:id="7"/>
          </w:p>
        </w:tc>
        <w:tc>
          <w:tcPr>
            <w:tcW w:w="4253" w:type="dxa"/>
          </w:tcPr>
          <w:p w:rsidR="00DB72A8" w:rsidRDefault="00DB72A8">
            <w:pPr>
              <w:pStyle w:val="Header"/>
              <w:tabs>
                <w:tab w:val="clear" w:pos="4153"/>
                <w:tab w:val="clear" w:pos="8306"/>
              </w:tabs>
            </w:pPr>
            <w:r>
              <w:t>Nicola Edwards</w:t>
            </w:r>
          </w:p>
          <w:p w:rsidR="00CF717B" w:rsidRDefault="00DB72A8" w:rsidP="00DB72A8">
            <w:pPr>
              <w:pStyle w:val="Header"/>
              <w:tabs>
                <w:tab w:val="clear" w:pos="4153"/>
                <w:tab w:val="clear" w:pos="8306"/>
              </w:tabs>
            </w:pPr>
            <w:r>
              <w:t>Scrutiny Officer</w:t>
            </w:r>
          </w:p>
        </w:tc>
        <w:tc>
          <w:tcPr>
            <w:tcW w:w="708" w:type="dxa"/>
          </w:tcPr>
          <w:p w:rsidR="00CF717B" w:rsidRDefault="00116924">
            <w:pPr>
              <w:rPr>
                <w:b/>
              </w:rPr>
            </w:pPr>
            <w:r>
              <w:rPr>
                <w:b/>
              </w:rPr>
              <w:t>Ext:</w:t>
            </w:r>
          </w:p>
        </w:tc>
        <w:tc>
          <w:tcPr>
            <w:tcW w:w="2410" w:type="dxa"/>
          </w:tcPr>
          <w:p w:rsidR="00CF717B" w:rsidRDefault="00DB72A8">
            <w:r>
              <w:t>7122</w:t>
            </w:r>
          </w:p>
        </w:tc>
      </w:tr>
      <w:tr w:rsidR="00DB72A8">
        <w:tc>
          <w:tcPr>
            <w:tcW w:w="2552" w:type="dxa"/>
          </w:tcPr>
          <w:p w:rsidR="00DB72A8" w:rsidRDefault="00DB72A8">
            <w:pPr>
              <w:rPr>
                <w:b/>
              </w:rPr>
            </w:pPr>
          </w:p>
        </w:tc>
        <w:tc>
          <w:tcPr>
            <w:tcW w:w="4253" w:type="dxa"/>
          </w:tcPr>
          <w:p w:rsidR="00DB72A8" w:rsidRDefault="00DB72A8">
            <w:pPr>
              <w:pStyle w:val="Header"/>
              <w:tabs>
                <w:tab w:val="clear" w:pos="4153"/>
                <w:tab w:val="clear" w:pos="8306"/>
              </w:tabs>
            </w:pPr>
          </w:p>
        </w:tc>
        <w:tc>
          <w:tcPr>
            <w:tcW w:w="708" w:type="dxa"/>
          </w:tcPr>
          <w:p w:rsidR="00DB72A8" w:rsidRDefault="00DB72A8">
            <w:pPr>
              <w:rPr>
                <w:b/>
              </w:rPr>
            </w:pPr>
          </w:p>
        </w:tc>
        <w:tc>
          <w:tcPr>
            <w:tcW w:w="2410" w:type="dxa"/>
          </w:tcPr>
          <w:p w:rsidR="00DB72A8" w:rsidRDefault="00DB72A8"/>
        </w:tc>
      </w:tr>
    </w:tbl>
    <w:p w:rsidR="00CF717B" w:rsidRDefault="00CF717B">
      <w:pPr>
        <w:pStyle w:val="Header"/>
        <w:tabs>
          <w:tab w:val="clear" w:pos="4153"/>
          <w:tab w:val="clear" w:pos="8306"/>
        </w:tabs>
      </w:pPr>
    </w:p>
    <w:p w:rsidR="001834C6" w:rsidRDefault="001834C6">
      <w:pPr>
        <w:spacing w:line="240" w:lineRule="auto"/>
      </w:pPr>
      <w:r>
        <w:br w:type="page"/>
      </w:r>
    </w:p>
    <w:p w:rsidR="001834C6" w:rsidRDefault="001834C6" w:rsidP="001834C6">
      <w:pPr>
        <w:pStyle w:val="Header"/>
        <w:numPr>
          <w:ilvl w:val="0"/>
          <w:numId w:val="4"/>
        </w:numPr>
        <w:tabs>
          <w:tab w:val="clear" w:pos="4153"/>
          <w:tab w:val="clear" w:pos="8306"/>
        </w:tabs>
        <w:rPr>
          <w:b/>
          <w:u w:val="single"/>
        </w:rPr>
      </w:pPr>
      <w:r w:rsidRPr="001834C6">
        <w:rPr>
          <w:b/>
          <w:u w:val="single"/>
        </w:rPr>
        <w:lastRenderedPageBreak/>
        <w:t>Background</w:t>
      </w:r>
    </w:p>
    <w:p w:rsidR="001834C6" w:rsidRDefault="001834C6">
      <w:pPr>
        <w:pStyle w:val="Header"/>
        <w:tabs>
          <w:tab w:val="clear" w:pos="4153"/>
          <w:tab w:val="clear" w:pos="8306"/>
        </w:tabs>
      </w:pPr>
    </w:p>
    <w:p w:rsidR="001834C6" w:rsidRDefault="001834C6" w:rsidP="001834C6">
      <w:pPr>
        <w:pStyle w:val="Header"/>
        <w:numPr>
          <w:ilvl w:val="1"/>
          <w:numId w:val="4"/>
        </w:numPr>
        <w:tabs>
          <w:tab w:val="clear" w:pos="4153"/>
          <w:tab w:val="clear" w:pos="8306"/>
        </w:tabs>
      </w:pPr>
      <w:r>
        <w:t>A Task Group made up of Cllrs Allison, Hendry and Layden was commissioned by the Resources O&amp;S Panel in October 2009 to undertake a review on the Council’s Use of Consultants.</w:t>
      </w:r>
    </w:p>
    <w:p w:rsidR="001834C6" w:rsidRDefault="001834C6">
      <w:pPr>
        <w:pStyle w:val="Header"/>
        <w:tabs>
          <w:tab w:val="clear" w:pos="4153"/>
          <w:tab w:val="clear" w:pos="8306"/>
        </w:tabs>
      </w:pPr>
    </w:p>
    <w:p w:rsidR="001834C6" w:rsidRDefault="001834C6" w:rsidP="001834C6">
      <w:pPr>
        <w:pStyle w:val="Header"/>
        <w:numPr>
          <w:ilvl w:val="1"/>
          <w:numId w:val="4"/>
        </w:numPr>
        <w:tabs>
          <w:tab w:val="clear" w:pos="4153"/>
          <w:tab w:val="clear" w:pos="8306"/>
        </w:tabs>
      </w:pPr>
      <w:r>
        <w:t xml:space="preserve">A report from the Task Group was approved for referral to the Executive by Members of this Panel in May 2010 and was subsequently presented to the Executive in July 2010.  Panel Members may recall that the Task group were concerned about the expenditure by Carlisle Renaissance on consultants.  </w:t>
      </w:r>
    </w:p>
    <w:p w:rsidR="001834C6" w:rsidRDefault="001834C6">
      <w:pPr>
        <w:pStyle w:val="Header"/>
        <w:tabs>
          <w:tab w:val="clear" w:pos="4153"/>
          <w:tab w:val="clear" w:pos="8306"/>
        </w:tabs>
      </w:pPr>
    </w:p>
    <w:p w:rsidR="001834C6" w:rsidRDefault="001834C6" w:rsidP="001834C6">
      <w:pPr>
        <w:pStyle w:val="Header"/>
        <w:numPr>
          <w:ilvl w:val="1"/>
          <w:numId w:val="4"/>
        </w:numPr>
        <w:tabs>
          <w:tab w:val="clear" w:pos="4153"/>
          <w:tab w:val="clear" w:pos="8306"/>
        </w:tabs>
      </w:pPr>
      <w:r>
        <w:t xml:space="preserve">The Task Group therefore commenced a second part of the review specifically on expenditure relating to Carlisle Renaissance in </w:t>
      </w:r>
      <w:r w:rsidR="00671CAD">
        <w:t xml:space="preserve">May </w:t>
      </w:r>
      <w:r>
        <w:t>2010.</w:t>
      </w:r>
      <w:r w:rsidR="00150686">
        <w:t xml:space="preserve">  The Terms of Reference for this part of the Review can be found at Appendix 1.</w:t>
      </w:r>
    </w:p>
    <w:p w:rsidR="001834C6" w:rsidRDefault="001834C6" w:rsidP="001834C6">
      <w:pPr>
        <w:pStyle w:val="ListParagraph"/>
      </w:pPr>
    </w:p>
    <w:p w:rsidR="001834C6" w:rsidRDefault="001834C6" w:rsidP="001834C6">
      <w:pPr>
        <w:pStyle w:val="Header"/>
        <w:numPr>
          <w:ilvl w:val="1"/>
          <w:numId w:val="4"/>
        </w:numPr>
        <w:tabs>
          <w:tab w:val="clear" w:pos="4153"/>
          <w:tab w:val="clear" w:pos="8306"/>
        </w:tabs>
      </w:pPr>
      <w:r>
        <w:t xml:space="preserve">Similarly to the first part of the review, the Task Group firstly undertook a paper exercise scrutinising all the expenditure relating to the cost centre code 4017.  With the support of the Efficiency Manager and the Scrutiny Officer, Members were able to identify the </w:t>
      </w:r>
      <w:r w:rsidR="00671CAD">
        <w:t>details of the expenditure from April 2008 to March 2010.</w:t>
      </w:r>
    </w:p>
    <w:p w:rsidR="00671CAD" w:rsidRDefault="00671CAD" w:rsidP="00671CAD">
      <w:pPr>
        <w:pStyle w:val="ListParagraph"/>
      </w:pPr>
    </w:p>
    <w:p w:rsidR="00671CAD" w:rsidRDefault="00671CAD" w:rsidP="001834C6">
      <w:pPr>
        <w:pStyle w:val="Header"/>
        <w:numPr>
          <w:ilvl w:val="1"/>
          <w:numId w:val="4"/>
        </w:numPr>
        <w:tabs>
          <w:tab w:val="clear" w:pos="4153"/>
          <w:tab w:val="clear" w:pos="8306"/>
        </w:tabs>
      </w:pPr>
      <w:r>
        <w:t>Members intended to hold a witness session with the Director, Carlisle Renaissance as the next part of their review as they had developed further lines of enquiry that they wished to follow.</w:t>
      </w:r>
    </w:p>
    <w:p w:rsidR="00150686" w:rsidRDefault="00150686" w:rsidP="00150686">
      <w:pPr>
        <w:pStyle w:val="ListParagraph"/>
      </w:pPr>
    </w:p>
    <w:p w:rsidR="001B0415" w:rsidRDefault="00150686" w:rsidP="001834C6">
      <w:pPr>
        <w:pStyle w:val="Header"/>
        <w:numPr>
          <w:ilvl w:val="1"/>
          <w:numId w:val="4"/>
        </w:numPr>
        <w:tabs>
          <w:tab w:val="clear" w:pos="4153"/>
          <w:tab w:val="clear" w:pos="8306"/>
        </w:tabs>
      </w:pPr>
      <w:r>
        <w:t xml:space="preserve">In particular, the Task Group wished to further investigate the expenditure relating specifically to Caldew Riverside, </w:t>
      </w:r>
      <w:r w:rsidR="001B0415">
        <w:t>City Centre Transformational sites</w:t>
      </w:r>
      <w:r>
        <w:t xml:space="preserve"> and the Carlisle Orbital Relief Road.  </w:t>
      </w:r>
    </w:p>
    <w:tbl>
      <w:tblPr>
        <w:tblW w:w="9100" w:type="dxa"/>
        <w:tblInd w:w="93" w:type="dxa"/>
        <w:tblLook w:val="04A0"/>
      </w:tblPr>
      <w:tblGrid>
        <w:gridCol w:w="3480"/>
        <w:gridCol w:w="2080"/>
        <w:gridCol w:w="2080"/>
        <w:gridCol w:w="1460"/>
      </w:tblGrid>
      <w:tr w:rsidR="001B0415" w:rsidRPr="001B0415" w:rsidTr="001B0415">
        <w:trPr>
          <w:trHeight w:val="885"/>
        </w:trPr>
        <w:tc>
          <w:tcPr>
            <w:tcW w:w="3480" w:type="dxa"/>
            <w:tcBorders>
              <w:top w:val="single" w:sz="8" w:space="0" w:color="000000"/>
              <w:left w:val="single" w:sz="8" w:space="0" w:color="000000"/>
              <w:bottom w:val="single" w:sz="8" w:space="0" w:color="000000"/>
              <w:right w:val="single" w:sz="8" w:space="0" w:color="000000"/>
            </w:tcBorders>
            <w:shd w:val="clear" w:color="000000" w:fill="D8D8D8"/>
            <w:vAlign w:val="center"/>
            <w:hideMark/>
          </w:tcPr>
          <w:p w:rsidR="001B0415" w:rsidRPr="001B0415" w:rsidRDefault="001B0415" w:rsidP="001B0415">
            <w:pPr>
              <w:spacing w:line="240" w:lineRule="auto"/>
              <w:jc w:val="center"/>
              <w:rPr>
                <w:rFonts w:cs="Arial"/>
                <w:b/>
                <w:bCs/>
                <w:color w:val="000000"/>
                <w:sz w:val="22"/>
                <w:szCs w:val="22"/>
              </w:rPr>
            </w:pPr>
            <w:r w:rsidRPr="001B0415">
              <w:rPr>
                <w:rFonts w:cs="Arial"/>
                <w:b/>
                <w:bCs/>
                <w:color w:val="000000"/>
                <w:sz w:val="22"/>
                <w:szCs w:val="22"/>
              </w:rPr>
              <w:t xml:space="preserve">Project </w:t>
            </w:r>
          </w:p>
        </w:tc>
        <w:tc>
          <w:tcPr>
            <w:tcW w:w="2080" w:type="dxa"/>
            <w:tcBorders>
              <w:top w:val="single" w:sz="8" w:space="0" w:color="000000"/>
              <w:left w:val="nil"/>
              <w:bottom w:val="single" w:sz="8" w:space="0" w:color="000000"/>
              <w:right w:val="single" w:sz="8" w:space="0" w:color="000000"/>
            </w:tcBorders>
            <w:shd w:val="clear" w:color="000000" w:fill="D8D8D8"/>
            <w:hideMark/>
          </w:tcPr>
          <w:p w:rsidR="001B0415" w:rsidRPr="001B0415" w:rsidRDefault="001B0415" w:rsidP="001B0415">
            <w:pPr>
              <w:spacing w:line="240" w:lineRule="auto"/>
              <w:jc w:val="center"/>
              <w:rPr>
                <w:rFonts w:cs="Arial"/>
                <w:b/>
                <w:bCs/>
                <w:color w:val="000000"/>
                <w:sz w:val="22"/>
                <w:szCs w:val="22"/>
              </w:rPr>
            </w:pPr>
            <w:r w:rsidRPr="001B0415">
              <w:rPr>
                <w:rFonts w:cs="Arial"/>
                <w:b/>
                <w:bCs/>
                <w:color w:val="000000"/>
                <w:sz w:val="22"/>
                <w:szCs w:val="22"/>
              </w:rPr>
              <w:t>Expenditure 2008/09 (excluding VAT)</w:t>
            </w:r>
          </w:p>
        </w:tc>
        <w:tc>
          <w:tcPr>
            <w:tcW w:w="2080" w:type="dxa"/>
            <w:tcBorders>
              <w:top w:val="single" w:sz="8" w:space="0" w:color="000000"/>
              <w:left w:val="nil"/>
              <w:bottom w:val="single" w:sz="8" w:space="0" w:color="000000"/>
              <w:right w:val="nil"/>
            </w:tcBorders>
            <w:shd w:val="clear" w:color="000000" w:fill="D8D8D8"/>
            <w:hideMark/>
          </w:tcPr>
          <w:p w:rsidR="001B0415" w:rsidRPr="001B0415" w:rsidRDefault="001B0415" w:rsidP="001B0415">
            <w:pPr>
              <w:spacing w:line="240" w:lineRule="auto"/>
              <w:jc w:val="center"/>
              <w:rPr>
                <w:rFonts w:cs="Arial"/>
                <w:b/>
                <w:bCs/>
                <w:color w:val="000000"/>
                <w:sz w:val="22"/>
                <w:szCs w:val="22"/>
              </w:rPr>
            </w:pPr>
            <w:r w:rsidRPr="001B0415">
              <w:rPr>
                <w:rFonts w:cs="Arial"/>
                <w:b/>
                <w:bCs/>
                <w:color w:val="000000"/>
                <w:sz w:val="22"/>
                <w:szCs w:val="22"/>
              </w:rPr>
              <w:t>Expenditure 2009/10 (excluding VAT)</w:t>
            </w:r>
          </w:p>
        </w:tc>
        <w:tc>
          <w:tcPr>
            <w:tcW w:w="1460" w:type="dxa"/>
            <w:tcBorders>
              <w:top w:val="single" w:sz="8" w:space="0" w:color="auto"/>
              <w:left w:val="single" w:sz="8" w:space="0" w:color="auto"/>
              <w:bottom w:val="single" w:sz="8" w:space="0" w:color="auto"/>
              <w:right w:val="single" w:sz="8" w:space="0" w:color="auto"/>
            </w:tcBorders>
            <w:shd w:val="clear" w:color="000000" w:fill="D8D8D8"/>
            <w:hideMark/>
          </w:tcPr>
          <w:p w:rsidR="001B0415" w:rsidRPr="001B0415" w:rsidRDefault="001B0415" w:rsidP="001B0415">
            <w:pPr>
              <w:spacing w:line="240" w:lineRule="auto"/>
              <w:jc w:val="center"/>
              <w:rPr>
                <w:rFonts w:cs="Arial"/>
                <w:b/>
                <w:bCs/>
                <w:color w:val="000000"/>
                <w:sz w:val="22"/>
                <w:szCs w:val="22"/>
              </w:rPr>
            </w:pPr>
            <w:r w:rsidRPr="001B0415">
              <w:rPr>
                <w:rFonts w:cs="Arial"/>
                <w:b/>
                <w:bCs/>
                <w:color w:val="000000"/>
                <w:sz w:val="22"/>
                <w:szCs w:val="22"/>
              </w:rPr>
              <w:t>Total</w:t>
            </w:r>
          </w:p>
        </w:tc>
      </w:tr>
      <w:tr w:rsidR="001B0415" w:rsidRPr="001B0415" w:rsidTr="001B0415">
        <w:trPr>
          <w:trHeight w:val="570"/>
        </w:trPr>
        <w:tc>
          <w:tcPr>
            <w:tcW w:w="3480" w:type="dxa"/>
            <w:tcBorders>
              <w:top w:val="nil"/>
              <w:left w:val="single" w:sz="8" w:space="0" w:color="000000"/>
              <w:bottom w:val="single" w:sz="8" w:space="0" w:color="000000"/>
              <w:right w:val="single" w:sz="8" w:space="0" w:color="000000"/>
            </w:tcBorders>
            <w:shd w:val="clear" w:color="000000" w:fill="D8D8D8"/>
            <w:vAlign w:val="center"/>
            <w:hideMark/>
          </w:tcPr>
          <w:p w:rsidR="001B0415" w:rsidRPr="001B0415" w:rsidRDefault="001B0415" w:rsidP="001B0415">
            <w:pPr>
              <w:spacing w:line="240" w:lineRule="auto"/>
              <w:rPr>
                <w:rFonts w:cs="Arial"/>
                <w:b/>
                <w:bCs/>
                <w:color w:val="000000"/>
                <w:sz w:val="22"/>
                <w:szCs w:val="22"/>
              </w:rPr>
            </w:pPr>
            <w:r w:rsidRPr="001B0415">
              <w:rPr>
                <w:rFonts w:cs="Arial"/>
                <w:b/>
                <w:bCs/>
                <w:color w:val="000000"/>
                <w:sz w:val="22"/>
                <w:szCs w:val="22"/>
              </w:rPr>
              <w:t>Total Expenditure to code 4017</w:t>
            </w:r>
          </w:p>
        </w:tc>
        <w:tc>
          <w:tcPr>
            <w:tcW w:w="2080" w:type="dxa"/>
            <w:tcBorders>
              <w:top w:val="nil"/>
              <w:left w:val="nil"/>
              <w:bottom w:val="single" w:sz="8" w:space="0" w:color="000000"/>
              <w:right w:val="single" w:sz="8" w:space="0" w:color="000000"/>
            </w:tcBorders>
            <w:shd w:val="clear" w:color="000000" w:fill="D8D8D8"/>
            <w:vAlign w:val="center"/>
            <w:hideMark/>
          </w:tcPr>
          <w:p w:rsidR="001B0415" w:rsidRPr="001B0415" w:rsidRDefault="001B0415" w:rsidP="001B0415">
            <w:pPr>
              <w:spacing w:line="240" w:lineRule="auto"/>
              <w:rPr>
                <w:rFonts w:cs="Arial"/>
                <w:b/>
                <w:bCs/>
                <w:color w:val="000000"/>
                <w:sz w:val="22"/>
                <w:szCs w:val="22"/>
              </w:rPr>
            </w:pPr>
            <w:r w:rsidRPr="001B0415">
              <w:rPr>
                <w:rFonts w:cs="Arial"/>
                <w:b/>
                <w:bCs/>
                <w:color w:val="000000"/>
                <w:sz w:val="22"/>
                <w:szCs w:val="22"/>
              </w:rPr>
              <w:t xml:space="preserve">523,574 </w:t>
            </w:r>
          </w:p>
        </w:tc>
        <w:tc>
          <w:tcPr>
            <w:tcW w:w="2080" w:type="dxa"/>
            <w:tcBorders>
              <w:top w:val="nil"/>
              <w:left w:val="nil"/>
              <w:bottom w:val="single" w:sz="8" w:space="0" w:color="000000"/>
              <w:right w:val="nil"/>
            </w:tcBorders>
            <w:shd w:val="clear" w:color="000000" w:fill="D8D8D8"/>
            <w:vAlign w:val="center"/>
            <w:hideMark/>
          </w:tcPr>
          <w:p w:rsidR="001B0415" w:rsidRPr="001B0415" w:rsidRDefault="001B0415" w:rsidP="001B0415">
            <w:pPr>
              <w:spacing w:line="240" w:lineRule="auto"/>
              <w:rPr>
                <w:rFonts w:cs="Arial"/>
                <w:b/>
                <w:bCs/>
                <w:color w:val="000000"/>
                <w:sz w:val="22"/>
                <w:szCs w:val="22"/>
              </w:rPr>
            </w:pPr>
            <w:r w:rsidRPr="001B0415">
              <w:rPr>
                <w:rFonts w:cs="Arial"/>
                <w:b/>
                <w:bCs/>
                <w:color w:val="000000"/>
                <w:sz w:val="22"/>
                <w:szCs w:val="22"/>
              </w:rPr>
              <w:t xml:space="preserve">699,192 </w:t>
            </w:r>
          </w:p>
        </w:tc>
        <w:tc>
          <w:tcPr>
            <w:tcW w:w="1460" w:type="dxa"/>
            <w:tcBorders>
              <w:top w:val="nil"/>
              <w:left w:val="single" w:sz="8" w:space="0" w:color="auto"/>
              <w:bottom w:val="single" w:sz="8" w:space="0" w:color="auto"/>
              <w:right w:val="single" w:sz="8" w:space="0" w:color="auto"/>
            </w:tcBorders>
            <w:shd w:val="clear" w:color="000000" w:fill="D8D8D8"/>
            <w:noWrap/>
            <w:vAlign w:val="center"/>
            <w:hideMark/>
          </w:tcPr>
          <w:p w:rsidR="001B0415" w:rsidRPr="001B0415" w:rsidRDefault="001B0415" w:rsidP="001B0415">
            <w:pPr>
              <w:spacing w:line="240" w:lineRule="auto"/>
              <w:rPr>
                <w:rFonts w:cs="Arial"/>
                <w:b/>
                <w:bCs/>
                <w:color w:val="000000"/>
                <w:sz w:val="22"/>
                <w:szCs w:val="22"/>
              </w:rPr>
            </w:pPr>
            <w:r w:rsidRPr="001B0415">
              <w:rPr>
                <w:rFonts w:cs="Arial"/>
                <w:b/>
                <w:bCs/>
                <w:color w:val="000000"/>
                <w:sz w:val="22"/>
                <w:szCs w:val="22"/>
              </w:rPr>
              <w:t xml:space="preserve">1,222,766 </w:t>
            </w:r>
          </w:p>
        </w:tc>
      </w:tr>
      <w:tr w:rsidR="001B0415" w:rsidRPr="001B0415" w:rsidTr="001B0415">
        <w:trPr>
          <w:trHeight w:val="300"/>
        </w:trPr>
        <w:tc>
          <w:tcPr>
            <w:tcW w:w="3480" w:type="dxa"/>
            <w:tcBorders>
              <w:top w:val="nil"/>
              <w:left w:val="single" w:sz="8" w:space="0" w:color="000000"/>
              <w:bottom w:val="single" w:sz="8" w:space="0" w:color="000000"/>
              <w:right w:val="single" w:sz="8" w:space="0" w:color="000000"/>
            </w:tcBorders>
            <w:shd w:val="clear" w:color="auto" w:fill="auto"/>
            <w:vAlign w:val="center"/>
            <w:hideMark/>
          </w:tcPr>
          <w:p w:rsidR="001B0415" w:rsidRPr="001B0415" w:rsidRDefault="001B0415" w:rsidP="001B0415">
            <w:pPr>
              <w:spacing w:line="240" w:lineRule="auto"/>
              <w:rPr>
                <w:rFonts w:cs="Arial"/>
                <w:color w:val="000000"/>
                <w:sz w:val="22"/>
                <w:szCs w:val="22"/>
              </w:rPr>
            </w:pPr>
            <w:r w:rsidRPr="001B0415">
              <w:rPr>
                <w:rFonts w:cs="Arial"/>
                <w:color w:val="000000"/>
                <w:sz w:val="22"/>
                <w:szCs w:val="22"/>
              </w:rPr>
              <w:t>Caldew Riverside</w:t>
            </w:r>
          </w:p>
        </w:tc>
        <w:tc>
          <w:tcPr>
            <w:tcW w:w="2080" w:type="dxa"/>
            <w:tcBorders>
              <w:top w:val="nil"/>
              <w:left w:val="nil"/>
              <w:bottom w:val="single" w:sz="8" w:space="0" w:color="000000"/>
              <w:right w:val="single" w:sz="8" w:space="0" w:color="000000"/>
            </w:tcBorders>
            <w:shd w:val="clear" w:color="auto" w:fill="auto"/>
            <w:vAlign w:val="center"/>
            <w:hideMark/>
          </w:tcPr>
          <w:p w:rsidR="001B0415" w:rsidRPr="001B0415" w:rsidRDefault="001B0415" w:rsidP="001B0415">
            <w:pPr>
              <w:spacing w:line="240" w:lineRule="auto"/>
              <w:rPr>
                <w:rFonts w:cs="Arial"/>
                <w:color w:val="000000"/>
                <w:sz w:val="22"/>
                <w:szCs w:val="22"/>
              </w:rPr>
            </w:pPr>
            <w:r w:rsidRPr="001B0415">
              <w:rPr>
                <w:rFonts w:cs="Arial"/>
                <w:color w:val="000000"/>
                <w:sz w:val="22"/>
                <w:szCs w:val="22"/>
              </w:rPr>
              <w:t xml:space="preserve">22,629 </w:t>
            </w:r>
          </w:p>
        </w:tc>
        <w:tc>
          <w:tcPr>
            <w:tcW w:w="2080" w:type="dxa"/>
            <w:tcBorders>
              <w:top w:val="nil"/>
              <w:left w:val="nil"/>
              <w:bottom w:val="single" w:sz="8" w:space="0" w:color="000000"/>
              <w:right w:val="nil"/>
            </w:tcBorders>
            <w:shd w:val="clear" w:color="auto" w:fill="auto"/>
            <w:vAlign w:val="center"/>
            <w:hideMark/>
          </w:tcPr>
          <w:p w:rsidR="001B0415" w:rsidRPr="001B0415" w:rsidRDefault="001B0415" w:rsidP="001B0415">
            <w:pPr>
              <w:spacing w:line="240" w:lineRule="auto"/>
              <w:rPr>
                <w:rFonts w:cs="Arial"/>
                <w:color w:val="000000"/>
                <w:sz w:val="22"/>
                <w:szCs w:val="22"/>
              </w:rPr>
            </w:pPr>
            <w:r w:rsidRPr="001B0415">
              <w:rPr>
                <w:rFonts w:cs="Arial"/>
                <w:color w:val="000000"/>
                <w:sz w:val="22"/>
                <w:szCs w:val="22"/>
              </w:rPr>
              <w:t xml:space="preserve">371,682 </w:t>
            </w:r>
          </w:p>
        </w:tc>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1B0415" w:rsidRPr="001B0415" w:rsidRDefault="001B0415" w:rsidP="001B0415">
            <w:pPr>
              <w:spacing w:line="240" w:lineRule="auto"/>
              <w:rPr>
                <w:rFonts w:cs="Arial"/>
                <w:color w:val="000000"/>
                <w:sz w:val="22"/>
                <w:szCs w:val="22"/>
              </w:rPr>
            </w:pPr>
            <w:r w:rsidRPr="001B0415">
              <w:rPr>
                <w:rFonts w:cs="Arial"/>
                <w:color w:val="000000"/>
                <w:sz w:val="22"/>
                <w:szCs w:val="22"/>
              </w:rPr>
              <w:t xml:space="preserve">394,311 </w:t>
            </w:r>
          </w:p>
        </w:tc>
      </w:tr>
      <w:tr w:rsidR="001B0415" w:rsidRPr="001B0415" w:rsidTr="001B0415">
        <w:trPr>
          <w:trHeight w:val="932"/>
        </w:trPr>
        <w:tc>
          <w:tcPr>
            <w:tcW w:w="3480" w:type="dxa"/>
            <w:tcBorders>
              <w:top w:val="nil"/>
              <w:left w:val="single" w:sz="8" w:space="0" w:color="000000"/>
              <w:bottom w:val="single" w:sz="8" w:space="0" w:color="000000"/>
              <w:right w:val="single" w:sz="8" w:space="0" w:color="000000"/>
            </w:tcBorders>
            <w:shd w:val="clear" w:color="auto" w:fill="auto"/>
            <w:vAlign w:val="center"/>
            <w:hideMark/>
          </w:tcPr>
          <w:p w:rsidR="001B0415" w:rsidRPr="001B0415" w:rsidRDefault="001B0415" w:rsidP="001B0415">
            <w:pPr>
              <w:spacing w:line="240" w:lineRule="auto"/>
              <w:rPr>
                <w:rFonts w:cs="Arial"/>
                <w:color w:val="000000"/>
                <w:sz w:val="22"/>
                <w:szCs w:val="22"/>
              </w:rPr>
            </w:pPr>
            <w:r w:rsidRPr="001B0415">
              <w:rPr>
                <w:rFonts w:cs="Arial"/>
                <w:color w:val="000000"/>
                <w:sz w:val="22"/>
                <w:szCs w:val="22"/>
              </w:rPr>
              <w:t>Market analysis and Development Services for City Centre Transformational Sites</w:t>
            </w:r>
          </w:p>
        </w:tc>
        <w:tc>
          <w:tcPr>
            <w:tcW w:w="2080" w:type="dxa"/>
            <w:tcBorders>
              <w:top w:val="nil"/>
              <w:left w:val="nil"/>
              <w:bottom w:val="single" w:sz="8" w:space="0" w:color="000000"/>
              <w:right w:val="single" w:sz="8" w:space="0" w:color="000000"/>
            </w:tcBorders>
            <w:shd w:val="clear" w:color="auto" w:fill="auto"/>
            <w:vAlign w:val="center"/>
            <w:hideMark/>
          </w:tcPr>
          <w:p w:rsidR="001B0415" w:rsidRPr="001B0415" w:rsidRDefault="001B0415" w:rsidP="001B0415">
            <w:pPr>
              <w:spacing w:line="240" w:lineRule="auto"/>
              <w:rPr>
                <w:rFonts w:cs="Arial"/>
                <w:color w:val="000000"/>
                <w:sz w:val="22"/>
                <w:szCs w:val="22"/>
              </w:rPr>
            </w:pPr>
            <w:r w:rsidRPr="001B0415">
              <w:rPr>
                <w:rFonts w:cs="Arial"/>
                <w:color w:val="000000"/>
                <w:sz w:val="22"/>
                <w:szCs w:val="22"/>
              </w:rPr>
              <w:t xml:space="preserve">367,974 </w:t>
            </w:r>
          </w:p>
        </w:tc>
        <w:tc>
          <w:tcPr>
            <w:tcW w:w="2080" w:type="dxa"/>
            <w:tcBorders>
              <w:top w:val="nil"/>
              <w:left w:val="nil"/>
              <w:bottom w:val="single" w:sz="8" w:space="0" w:color="000000"/>
              <w:right w:val="nil"/>
            </w:tcBorders>
            <w:shd w:val="clear" w:color="auto" w:fill="auto"/>
            <w:vAlign w:val="center"/>
            <w:hideMark/>
          </w:tcPr>
          <w:p w:rsidR="001B0415" w:rsidRPr="001B0415" w:rsidRDefault="001B0415" w:rsidP="001B0415">
            <w:pPr>
              <w:spacing w:line="240" w:lineRule="auto"/>
              <w:rPr>
                <w:rFonts w:cs="Arial"/>
                <w:color w:val="000000"/>
                <w:sz w:val="22"/>
                <w:szCs w:val="22"/>
              </w:rPr>
            </w:pPr>
            <w:r w:rsidRPr="001B0415">
              <w:rPr>
                <w:rFonts w:cs="Arial"/>
                <w:color w:val="000000"/>
                <w:sz w:val="22"/>
                <w:szCs w:val="22"/>
              </w:rPr>
              <w:t> </w:t>
            </w:r>
          </w:p>
        </w:tc>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1B0415" w:rsidRPr="001B0415" w:rsidRDefault="001B0415" w:rsidP="001B0415">
            <w:pPr>
              <w:spacing w:line="240" w:lineRule="auto"/>
              <w:rPr>
                <w:rFonts w:cs="Arial"/>
                <w:color w:val="000000"/>
                <w:sz w:val="22"/>
                <w:szCs w:val="22"/>
              </w:rPr>
            </w:pPr>
            <w:r w:rsidRPr="001B0415">
              <w:rPr>
                <w:rFonts w:cs="Arial"/>
                <w:color w:val="000000"/>
                <w:sz w:val="22"/>
                <w:szCs w:val="22"/>
              </w:rPr>
              <w:t xml:space="preserve">367,974 </w:t>
            </w:r>
          </w:p>
        </w:tc>
      </w:tr>
      <w:tr w:rsidR="001B0415" w:rsidRPr="001B0415" w:rsidTr="001B0415">
        <w:trPr>
          <w:trHeight w:val="960"/>
        </w:trPr>
        <w:tc>
          <w:tcPr>
            <w:tcW w:w="3480" w:type="dxa"/>
            <w:tcBorders>
              <w:top w:val="nil"/>
              <w:left w:val="single" w:sz="8" w:space="0" w:color="000000"/>
              <w:bottom w:val="single" w:sz="8" w:space="0" w:color="000000"/>
              <w:right w:val="single" w:sz="8" w:space="0" w:color="000000"/>
            </w:tcBorders>
            <w:shd w:val="clear" w:color="auto" w:fill="auto"/>
            <w:vAlign w:val="center"/>
            <w:hideMark/>
          </w:tcPr>
          <w:p w:rsidR="001B0415" w:rsidRPr="001B0415" w:rsidRDefault="001B0415" w:rsidP="001B0415">
            <w:pPr>
              <w:spacing w:line="240" w:lineRule="auto"/>
              <w:rPr>
                <w:rFonts w:cs="Arial"/>
                <w:color w:val="000000"/>
                <w:sz w:val="22"/>
                <w:szCs w:val="22"/>
              </w:rPr>
            </w:pPr>
            <w:r w:rsidRPr="001B0415">
              <w:rPr>
                <w:rFonts w:cs="Arial"/>
                <w:color w:val="000000"/>
                <w:sz w:val="22"/>
                <w:szCs w:val="22"/>
              </w:rPr>
              <w:t>Payments to Cumbria CC re work undertaken by Capita on Carlisle Orbital Relief Road etc</w:t>
            </w:r>
          </w:p>
        </w:tc>
        <w:tc>
          <w:tcPr>
            <w:tcW w:w="2080" w:type="dxa"/>
            <w:tcBorders>
              <w:top w:val="nil"/>
              <w:left w:val="nil"/>
              <w:bottom w:val="single" w:sz="8" w:space="0" w:color="000000"/>
              <w:right w:val="single" w:sz="8" w:space="0" w:color="000000"/>
            </w:tcBorders>
            <w:shd w:val="clear" w:color="auto" w:fill="auto"/>
            <w:vAlign w:val="center"/>
            <w:hideMark/>
          </w:tcPr>
          <w:p w:rsidR="001B0415" w:rsidRPr="001B0415" w:rsidRDefault="001B0415" w:rsidP="001B0415">
            <w:pPr>
              <w:spacing w:line="240" w:lineRule="auto"/>
              <w:rPr>
                <w:rFonts w:cs="Arial"/>
                <w:color w:val="000000"/>
                <w:sz w:val="22"/>
                <w:szCs w:val="22"/>
              </w:rPr>
            </w:pPr>
            <w:r w:rsidRPr="001B0415">
              <w:rPr>
                <w:rFonts w:cs="Arial"/>
                <w:color w:val="000000"/>
                <w:sz w:val="22"/>
                <w:szCs w:val="22"/>
              </w:rPr>
              <w:t> </w:t>
            </w:r>
          </w:p>
        </w:tc>
        <w:tc>
          <w:tcPr>
            <w:tcW w:w="2080" w:type="dxa"/>
            <w:tcBorders>
              <w:top w:val="nil"/>
              <w:left w:val="nil"/>
              <w:bottom w:val="single" w:sz="8" w:space="0" w:color="000000"/>
              <w:right w:val="nil"/>
            </w:tcBorders>
            <w:shd w:val="clear" w:color="auto" w:fill="auto"/>
            <w:vAlign w:val="center"/>
            <w:hideMark/>
          </w:tcPr>
          <w:p w:rsidR="001B0415" w:rsidRPr="001B0415" w:rsidRDefault="001B0415" w:rsidP="001B0415">
            <w:pPr>
              <w:spacing w:line="240" w:lineRule="auto"/>
              <w:rPr>
                <w:rFonts w:cs="Arial"/>
                <w:color w:val="000000"/>
                <w:sz w:val="22"/>
                <w:szCs w:val="22"/>
              </w:rPr>
            </w:pPr>
            <w:r w:rsidRPr="001B0415">
              <w:rPr>
                <w:rFonts w:cs="Arial"/>
                <w:color w:val="000000"/>
                <w:sz w:val="22"/>
                <w:szCs w:val="22"/>
              </w:rPr>
              <w:t xml:space="preserve">219,136 </w:t>
            </w:r>
          </w:p>
        </w:tc>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1B0415" w:rsidRPr="001B0415" w:rsidRDefault="001B0415" w:rsidP="001B0415">
            <w:pPr>
              <w:spacing w:line="240" w:lineRule="auto"/>
              <w:rPr>
                <w:rFonts w:cs="Arial"/>
                <w:color w:val="000000"/>
                <w:sz w:val="22"/>
                <w:szCs w:val="22"/>
              </w:rPr>
            </w:pPr>
            <w:r w:rsidRPr="001B0415">
              <w:rPr>
                <w:rFonts w:cs="Arial"/>
                <w:color w:val="000000"/>
                <w:sz w:val="22"/>
                <w:szCs w:val="22"/>
              </w:rPr>
              <w:t xml:space="preserve">219,136 </w:t>
            </w:r>
          </w:p>
        </w:tc>
      </w:tr>
    </w:tbl>
    <w:p w:rsidR="001B0415" w:rsidRDefault="001B0415" w:rsidP="001B0415">
      <w:pPr>
        <w:pStyle w:val="ListParagraph"/>
      </w:pPr>
    </w:p>
    <w:p w:rsidR="001B0415" w:rsidRDefault="001B0415" w:rsidP="001B0415">
      <w:pPr>
        <w:pStyle w:val="ListParagraph"/>
      </w:pPr>
    </w:p>
    <w:p w:rsidR="00671CAD" w:rsidRDefault="00671CAD" w:rsidP="00671CAD">
      <w:pPr>
        <w:pStyle w:val="ListParagraph"/>
      </w:pPr>
    </w:p>
    <w:p w:rsidR="00671CAD" w:rsidRDefault="00671CAD" w:rsidP="00671CAD">
      <w:pPr>
        <w:pStyle w:val="Header"/>
        <w:numPr>
          <w:ilvl w:val="1"/>
          <w:numId w:val="4"/>
        </w:numPr>
        <w:tabs>
          <w:tab w:val="clear" w:pos="4153"/>
          <w:tab w:val="clear" w:pos="8306"/>
        </w:tabs>
      </w:pPr>
      <w:r>
        <w:t>Events have taken over the work of the Task Group, on 26</w:t>
      </w:r>
      <w:r w:rsidRPr="00671CAD">
        <w:rPr>
          <w:vertAlign w:val="superscript"/>
        </w:rPr>
        <w:t>th</w:t>
      </w:r>
      <w:r>
        <w:t xml:space="preserve"> June 2010 the Carlisle Renaissance Board was disbanded and the Executive have agreed in principal that Carlisle Renaissance staff will be transferred back to the City Council.</w:t>
      </w:r>
    </w:p>
    <w:p w:rsidR="00671CAD" w:rsidRDefault="00671CAD" w:rsidP="00671CAD">
      <w:pPr>
        <w:pStyle w:val="ListParagraph"/>
      </w:pPr>
    </w:p>
    <w:p w:rsidR="00671CAD" w:rsidRDefault="00671CAD" w:rsidP="00671CAD">
      <w:pPr>
        <w:pStyle w:val="Header"/>
        <w:numPr>
          <w:ilvl w:val="1"/>
          <w:numId w:val="4"/>
        </w:numPr>
        <w:tabs>
          <w:tab w:val="clear" w:pos="4153"/>
          <w:tab w:val="clear" w:pos="8306"/>
        </w:tabs>
      </w:pPr>
      <w:r>
        <w:t xml:space="preserve">The Task Group therefore decided that it was not timely to continue with the scrutiny at this particular time </w:t>
      </w:r>
      <w:r w:rsidR="000D595D">
        <w:t>and wished to postpone this work until the staff are transferred.</w:t>
      </w:r>
    </w:p>
    <w:p w:rsidR="001B0415" w:rsidRDefault="001B0415">
      <w:pPr>
        <w:spacing w:line="240" w:lineRule="auto"/>
      </w:pPr>
      <w:r>
        <w:br w:type="page"/>
      </w:r>
    </w:p>
    <w:p w:rsidR="000D595D" w:rsidRDefault="008E4AD9" w:rsidP="000D595D">
      <w:pPr>
        <w:pStyle w:val="ListParagraph"/>
      </w:pPr>
      <w:r w:rsidRPr="008E4AD9">
        <w:rPr>
          <w:noProof/>
          <w:lang w:val="en-US"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393.3pt;margin-top:-46.25pt;width:105.55pt;height:24.75pt;z-index:251660288;mso-width-relative:margin;mso-height-relative:margin">
            <v:textbox style="mso-next-textbox:#_x0000_s1026">
              <w:txbxContent>
                <w:p w:rsidR="001B0415" w:rsidRPr="00FF7B5A" w:rsidRDefault="001B0415">
                  <w:pPr>
                    <w:rPr>
                      <w:b/>
                    </w:rPr>
                  </w:pPr>
                  <w:r w:rsidRPr="00FF7B5A">
                    <w:rPr>
                      <w:b/>
                    </w:rPr>
                    <w:t>APPENDIX 1</w:t>
                  </w:r>
                </w:p>
              </w:txbxContent>
            </v:textbox>
          </v:shape>
        </w:pict>
      </w:r>
    </w:p>
    <w:p w:rsidR="00FF7B5A" w:rsidRDefault="00FF7B5A" w:rsidP="00FF7B5A">
      <w:pPr>
        <w:pStyle w:val="Title"/>
      </w:pPr>
      <w:r w:rsidRPr="008C3A9D">
        <w:t xml:space="preserve">Use of Consultants Task and Finish Group </w:t>
      </w:r>
    </w:p>
    <w:p w:rsidR="00FF7B5A" w:rsidRPr="004C5D2A" w:rsidRDefault="00FF7B5A" w:rsidP="00FF7B5A"/>
    <w:p w:rsidR="00FF7B5A" w:rsidRDefault="00FF7B5A" w:rsidP="00FF7B5A">
      <w:pPr>
        <w:rPr>
          <w:snapToGrid w:val="0"/>
        </w:rPr>
      </w:pPr>
      <w:r w:rsidRPr="008C3A9D">
        <w:t xml:space="preserve">The </w:t>
      </w:r>
      <w:r w:rsidRPr="008C3A9D">
        <w:rPr>
          <w:snapToGrid w:val="0"/>
        </w:rPr>
        <w:t xml:space="preserve">task and finish group </w:t>
      </w:r>
      <w:r>
        <w:rPr>
          <w:snapToGrid w:val="0"/>
        </w:rPr>
        <w:t>has</w:t>
      </w:r>
      <w:r w:rsidRPr="008C3A9D">
        <w:rPr>
          <w:snapToGrid w:val="0"/>
        </w:rPr>
        <w:t xml:space="preserve"> been set up to look at the Authority’s Use of Consultants.</w:t>
      </w:r>
      <w:r>
        <w:rPr>
          <w:snapToGrid w:val="0"/>
        </w:rPr>
        <w:t xml:space="preserve">  During the course of the review Members raised concerns about the amount of expenditure relating to the commissioning of consultants by Carlisle Renaissance.  Therefore it was proposed that the Task Group undertake a second scrutiny exclusively on this issue.</w:t>
      </w:r>
    </w:p>
    <w:p w:rsidR="00FF7B5A" w:rsidRPr="008C3A9D" w:rsidRDefault="00FF7B5A" w:rsidP="00FF7B5A">
      <w:pPr>
        <w:rPr>
          <w:snapToGrid w:val="0"/>
        </w:rPr>
      </w:pPr>
    </w:p>
    <w:p w:rsidR="00FF7B5A" w:rsidRPr="008C3A9D" w:rsidRDefault="00FF7B5A" w:rsidP="00FF7B5A">
      <w:pPr>
        <w:pStyle w:val="Heading1"/>
      </w:pPr>
      <w:r w:rsidRPr="008C3A9D">
        <w:t>Membership</w:t>
      </w:r>
    </w:p>
    <w:p w:rsidR="00FF7B5A" w:rsidRDefault="00FF7B5A" w:rsidP="00FF7B5A">
      <w:r w:rsidRPr="008C3A9D">
        <w:t>The members of the group are:</w:t>
      </w:r>
    </w:p>
    <w:p w:rsidR="00FF7B5A" w:rsidRPr="008C3A9D" w:rsidRDefault="00FF7B5A" w:rsidP="00FF7B5A"/>
    <w:p w:rsidR="00FF7B5A" w:rsidRPr="008C3A9D" w:rsidRDefault="00FF7B5A" w:rsidP="00FF7B5A">
      <w:pPr>
        <w:numPr>
          <w:ilvl w:val="0"/>
          <w:numId w:val="6"/>
        </w:numPr>
        <w:spacing w:line="240" w:lineRule="auto"/>
        <w:ind w:left="714" w:hanging="357"/>
        <w:rPr>
          <w:snapToGrid w:val="0"/>
        </w:rPr>
      </w:pPr>
      <w:r w:rsidRPr="008C3A9D">
        <w:rPr>
          <w:snapToGrid w:val="0"/>
        </w:rPr>
        <w:t>Councillor Allison – Resources</w:t>
      </w:r>
    </w:p>
    <w:p w:rsidR="00FF7B5A" w:rsidRPr="008C3A9D" w:rsidRDefault="00FF7B5A" w:rsidP="00FF7B5A">
      <w:pPr>
        <w:numPr>
          <w:ilvl w:val="0"/>
          <w:numId w:val="6"/>
        </w:numPr>
        <w:spacing w:line="240" w:lineRule="auto"/>
        <w:ind w:left="714" w:hanging="357"/>
        <w:rPr>
          <w:snapToGrid w:val="0"/>
        </w:rPr>
      </w:pPr>
      <w:r w:rsidRPr="008C3A9D">
        <w:rPr>
          <w:snapToGrid w:val="0"/>
        </w:rPr>
        <w:t>Councillor Hendry – Resources</w:t>
      </w:r>
      <w:r>
        <w:rPr>
          <w:snapToGrid w:val="0"/>
        </w:rPr>
        <w:t xml:space="preserve"> (Chair of Task and Finish Group)</w:t>
      </w:r>
    </w:p>
    <w:p w:rsidR="00FF7B5A" w:rsidRDefault="00FF7B5A" w:rsidP="00FF7B5A">
      <w:pPr>
        <w:numPr>
          <w:ilvl w:val="0"/>
          <w:numId w:val="6"/>
        </w:numPr>
        <w:spacing w:line="240" w:lineRule="auto"/>
        <w:ind w:left="714" w:hanging="357"/>
        <w:rPr>
          <w:snapToGrid w:val="0"/>
        </w:rPr>
      </w:pPr>
      <w:r w:rsidRPr="008C3A9D">
        <w:rPr>
          <w:snapToGrid w:val="0"/>
        </w:rPr>
        <w:t>Councillor Layden – Resources</w:t>
      </w:r>
    </w:p>
    <w:p w:rsidR="00FF7B5A" w:rsidRPr="008C3A9D" w:rsidRDefault="00FF7B5A" w:rsidP="00FF7B5A">
      <w:pPr>
        <w:ind w:left="714"/>
        <w:rPr>
          <w:snapToGrid w:val="0"/>
        </w:rPr>
      </w:pPr>
    </w:p>
    <w:p w:rsidR="00FF7B5A" w:rsidRDefault="00FF7B5A" w:rsidP="00FF7B5A">
      <w:pPr>
        <w:pStyle w:val="BodyText"/>
        <w:rPr>
          <w:szCs w:val="22"/>
        </w:rPr>
      </w:pPr>
      <w:r w:rsidRPr="008C3A9D">
        <w:rPr>
          <w:szCs w:val="22"/>
        </w:rPr>
        <w:t>They will be supported and guided by officers from the Scrutiny Team.</w:t>
      </w:r>
    </w:p>
    <w:p w:rsidR="00FF7B5A" w:rsidRPr="008C3A9D" w:rsidRDefault="00FF7B5A" w:rsidP="00FF7B5A">
      <w:pPr>
        <w:pStyle w:val="BodyText"/>
        <w:rPr>
          <w:szCs w:val="22"/>
        </w:rPr>
      </w:pPr>
    </w:p>
    <w:p w:rsidR="00FF7B5A" w:rsidRPr="008C3A9D" w:rsidRDefault="00FF7B5A" w:rsidP="00FF7B5A">
      <w:pPr>
        <w:pStyle w:val="Heading1"/>
      </w:pPr>
      <w:r w:rsidRPr="008C3A9D">
        <w:t>Terms of Reference</w:t>
      </w:r>
    </w:p>
    <w:p w:rsidR="00FF7B5A" w:rsidRDefault="00FF7B5A" w:rsidP="00FF7B5A">
      <w:pPr>
        <w:rPr>
          <w:snapToGrid w:val="0"/>
          <w:szCs w:val="22"/>
        </w:rPr>
      </w:pPr>
      <w:r w:rsidRPr="008C3A9D">
        <w:rPr>
          <w:snapToGrid w:val="0"/>
          <w:szCs w:val="22"/>
        </w:rPr>
        <w:t>The Terms of Reference for the group are suggested as:</w:t>
      </w:r>
    </w:p>
    <w:p w:rsidR="00FF7B5A" w:rsidRPr="008C3A9D" w:rsidRDefault="00FF7B5A" w:rsidP="00FF7B5A">
      <w:pPr>
        <w:rPr>
          <w:snapToGrid w:val="0"/>
          <w:szCs w:val="22"/>
        </w:rPr>
      </w:pPr>
    </w:p>
    <w:p w:rsidR="00FF7B5A" w:rsidRDefault="00FF7B5A" w:rsidP="00FF7B5A">
      <w:pPr>
        <w:pStyle w:val="BodyText"/>
        <w:numPr>
          <w:ilvl w:val="0"/>
          <w:numId w:val="5"/>
        </w:numPr>
        <w:spacing w:before="0" w:line="240" w:lineRule="auto"/>
        <w:ind w:left="714" w:hanging="357"/>
        <w:rPr>
          <w:szCs w:val="22"/>
        </w:rPr>
      </w:pPr>
      <w:r>
        <w:rPr>
          <w:szCs w:val="22"/>
        </w:rPr>
        <w:t>To identify expenditure by Carlisle Renaissance on consultants for the years 2008/09 and 2009/10.</w:t>
      </w:r>
    </w:p>
    <w:p w:rsidR="00FF7B5A" w:rsidRDefault="00FF7B5A" w:rsidP="00FF7B5A">
      <w:pPr>
        <w:pStyle w:val="BodyText"/>
        <w:numPr>
          <w:ilvl w:val="0"/>
          <w:numId w:val="5"/>
        </w:numPr>
        <w:spacing w:before="0" w:line="240" w:lineRule="auto"/>
        <w:ind w:left="714" w:hanging="357"/>
        <w:rPr>
          <w:szCs w:val="22"/>
        </w:rPr>
      </w:pPr>
      <w:r>
        <w:rPr>
          <w:szCs w:val="22"/>
        </w:rPr>
        <w:t xml:space="preserve">To </w:t>
      </w:r>
      <w:r w:rsidRPr="008C3A9D">
        <w:rPr>
          <w:szCs w:val="22"/>
        </w:rPr>
        <w:t>identify the context of when and why consultants are used</w:t>
      </w:r>
      <w:r>
        <w:rPr>
          <w:szCs w:val="22"/>
        </w:rPr>
        <w:t>.</w:t>
      </w:r>
    </w:p>
    <w:p w:rsidR="00FF7B5A" w:rsidRPr="008C3A9D" w:rsidRDefault="00FF7B5A" w:rsidP="00FF7B5A">
      <w:pPr>
        <w:pStyle w:val="BodyText"/>
        <w:numPr>
          <w:ilvl w:val="0"/>
          <w:numId w:val="5"/>
        </w:numPr>
        <w:spacing w:before="0" w:line="240" w:lineRule="auto"/>
        <w:ind w:left="714" w:hanging="357"/>
        <w:rPr>
          <w:szCs w:val="22"/>
        </w:rPr>
      </w:pPr>
      <w:r>
        <w:rPr>
          <w:szCs w:val="22"/>
        </w:rPr>
        <w:t>To identify outcomes following the commissioning of consultants.</w:t>
      </w:r>
    </w:p>
    <w:p w:rsidR="00FF7B5A" w:rsidRPr="008C3A9D" w:rsidRDefault="00FF7B5A" w:rsidP="00FF7B5A">
      <w:pPr>
        <w:pStyle w:val="BodyText"/>
        <w:numPr>
          <w:ilvl w:val="0"/>
          <w:numId w:val="5"/>
        </w:numPr>
        <w:spacing w:before="0" w:line="240" w:lineRule="auto"/>
        <w:ind w:left="714" w:hanging="357"/>
        <w:rPr>
          <w:szCs w:val="22"/>
        </w:rPr>
      </w:pPr>
      <w:r>
        <w:rPr>
          <w:szCs w:val="22"/>
        </w:rPr>
        <w:t>T</w:t>
      </w:r>
      <w:r w:rsidRPr="008C3A9D">
        <w:rPr>
          <w:szCs w:val="22"/>
        </w:rPr>
        <w:t>o investigate</w:t>
      </w:r>
      <w:r>
        <w:rPr>
          <w:szCs w:val="22"/>
        </w:rPr>
        <w:t xml:space="preserve"> whether set </w:t>
      </w:r>
      <w:r w:rsidRPr="008C3A9D">
        <w:rPr>
          <w:szCs w:val="22"/>
        </w:rPr>
        <w:t>procedures</w:t>
      </w:r>
      <w:r>
        <w:rPr>
          <w:szCs w:val="22"/>
        </w:rPr>
        <w:t xml:space="preserve"> are followed to </w:t>
      </w:r>
      <w:r w:rsidRPr="008C3A9D">
        <w:rPr>
          <w:szCs w:val="22"/>
        </w:rPr>
        <w:t>procure consultants</w:t>
      </w:r>
    </w:p>
    <w:p w:rsidR="00FF7B5A" w:rsidRDefault="00FF7B5A" w:rsidP="00FF7B5A">
      <w:pPr>
        <w:pStyle w:val="BodyText"/>
        <w:numPr>
          <w:ilvl w:val="0"/>
          <w:numId w:val="5"/>
        </w:numPr>
        <w:spacing w:before="0" w:line="240" w:lineRule="auto"/>
        <w:ind w:left="714" w:hanging="357"/>
        <w:rPr>
          <w:szCs w:val="22"/>
        </w:rPr>
      </w:pPr>
      <w:r>
        <w:rPr>
          <w:szCs w:val="22"/>
        </w:rPr>
        <w:t>To investigate any other related issues that come to light during the course of the review.</w:t>
      </w:r>
    </w:p>
    <w:p w:rsidR="00FF7B5A" w:rsidRDefault="00FF7B5A" w:rsidP="00FF7B5A">
      <w:r w:rsidRPr="008C3A9D">
        <w:rPr>
          <w:szCs w:val="22"/>
        </w:rPr>
        <w:t>A report on the decisions of the task and finish group will then form the basis for recommendations to the Resources Overview and Scrutiny Panel to take back to</w:t>
      </w:r>
      <w:r>
        <w:t xml:space="preserve"> the Executive and agree, prior to the next round of reporting to Panels.</w:t>
      </w:r>
    </w:p>
    <w:p w:rsidR="001834C6" w:rsidRDefault="001834C6">
      <w:pPr>
        <w:pStyle w:val="Header"/>
        <w:tabs>
          <w:tab w:val="clear" w:pos="4153"/>
          <w:tab w:val="clear" w:pos="8306"/>
        </w:tabs>
      </w:pPr>
    </w:p>
    <w:p w:rsidR="001834C6" w:rsidRDefault="001834C6">
      <w:pPr>
        <w:pStyle w:val="Header"/>
        <w:tabs>
          <w:tab w:val="clear" w:pos="4153"/>
          <w:tab w:val="clear" w:pos="8306"/>
        </w:tabs>
      </w:pPr>
    </w:p>
    <w:sectPr w:rsidR="001834C6" w:rsidSect="00CF717B">
      <w:headerReference w:type="default" r:id="rId8"/>
      <w:footerReference w:type="default" r:id="rId9"/>
      <w:headerReference w:type="first" r:id="rId10"/>
      <w:footerReference w:type="first" r:id="rId11"/>
      <w:type w:val="continuous"/>
      <w:pgSz w:w="11906" w:h="16838"/>
      <w:pgMar w:top="964" w:right="1134" w:bottom="1440"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415" w:rsidRDefault="001B0415">
      <w:pPr>
        <w:spacing w:line="240" w:lineRule="auto"/>
      </w:pPr>
      <w:r>
        <w:separator/>
      </w:r>
    </w:p>
  </w:endnote>
  <w:endnote w:type="continuationSeparator" w:id="0">
    <w:p w:rsidR="001B0415" w:rsidRDefault="001B04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286"/>
    </w:tblGrid>
    <w:tr w:rsidR="001B0415">
      <w:tc>
        <w:tcPr>
          <w:tcW w:w="9286" w:type="dxa"/>
        </w:tcPr>
        <w:p w:rsidR="001B0415" w:rsidRDefault="001B0415">
          <w:pPr>
            <w:pStyle w:val="Footer"/>
            <w:spacing w:line="240" w:lineRule="auto"/>
            <w:rPr>
              <w:rFonts w:ascii="Tahoma" w:hAnsi="Tahoma"/>
              <w:b/>
              <w:sz w:val="18"/>
            </w:rPr>
          </w:pPr>
        </w:p>
      </w:tc>
    </w:tr>
    <w:tr w:rsidR="001B0415">
      <w:tc>
        <w:tcPr>
          <w:tcW w:w="9286" w:type="dxa"/>
        </w:tcPr>
        <w:p w:rsidR="001B0415" w:rsidRDefault="001B0415">
          <w:pPr>
            <w:pStyle w:val="Footer"/>
            <w:spacing w:line="240" w:lineRule="auto"/>
            <w:jc w:val="center"/>
            <w:rPr>
              <w:rFonts w:ascii="Tahoma" w:hAnsi="Tahoma"/>
            </w:rPr>
          </w:pPr>
        </w:p>
        <w:p w:rsidR="001B0415" w:rsidRDefault="008E4AD9">
          <w:pPr>
            <w:pStyle w:val="Footer"/>
            <w:spacing w:line="240" w:lineRule="auto"/>
            <w:jc w:val="center"/>
            <w:rPr>
              <w:rFonts w:ascii="Tahoma" w:hAnsi="Tahoma"/>
            </w:rPr>
          </w:pPr>
          <w:r>
            <w:rPr>
              <w:rFonts w:ascii="Tahoma" w:hAnsi="Tahoma"/>
            </w:rPr>
            <w:fldChar w:fldCharType="begin"/>
          </w:r>
          <w:r w:rsidR="001B0415">
            <w:rPr>
              <w:rFonts w:ascii="Tahoma" w:hAnsi="Tahoma"/>
            </w:rPr>
            <w:instrText xml:space="preserve"> PAGE  \* MERGEFORMAT </w:instrText>
          </w:r>
          <w:r>
            <w:rPr>
              <w:rFonts w:ascii="Tahoma" w:hAnsi="Tahoma"/>
            </w:rPr>
            <w:fldChar w:fldCharType="separate"/>
          </w:r>
          <w:r w:rsidR="00C644DF">
            <w:rPr>
              <w:rFonts w:ascii="Tahoma" w:hAnsi="Tahoma"/>
              <w:noProof/>
            </w:rPr>
            <w:t>4</w:t>
          </w:r>
          <w:r>
            <w:rPr>
              <w:rFonts w:ascii="Tahoma" w:hAnsi="Tahoma"/>
            </w:rPr>
            <w:fldChar w:fldCharType="end"/>
          </w:r>
        </w:p>
      </w:tc>
    </w:tr>
  </w:tbl>
  <w:p w:rsidR="001B0415" w:rsidRDefault="001B04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854"/>
    </w:tblGrid>
    <w:tr w:rsidR="001B0415">
      <w:tc>
        <w:tcPr>
          <w:tcW w:w="9854" w:type="dxa"/>
        </w:tcPr>
        <w:p w:rsidR="001B0415" w:rsidRDefault="008E4AD9">
          <w:pPr>
            <w:pStyle w:val="Footer"/>
          </w:pPr>
          <w:r>
            <w:fldChar w:fldCharType="begin"/>
          </w:r>
          <w:r w:rsidR="001B0415">
            <w:instrText xml:space="preserve"> IF </w:instrText>
          </w:r>
          <w:fldSimple w:instr=" PAGE  \* MERGEFORMAT ">
            <w:r w:rsidR="00C644DF">
              <w:rPr>
                <w:noProof/>
              </w:rPr>
              <w:instrText>1</w:instrText>
            </w:r>
          </w:fldSimple>
          <w:r w:rsidR="001B0415">
            <w:instrText xml:space="preserve"> = 1 "Note: in compliance with section 100d of the Local Government (Access to Information) Act 1985 the report has been prepared in part from the following papers: None" \* MERGEFORMAT </w:instrText>
          </w:r>
          <w:r w:rsidR="00C644DF">
            <w:fldChar w:fldCharType="separate"/>
          </w:r>
          <w:r w:rsidR="00C644DF">
            <w:rPr>
              <w:noProof/>
            </w:rPr>
            <w:t>Note: in compliance with section 100d of the Local Government (Access to Information) Act 1985 the report has been prepared in part from the following papers: None</w:t>
          </w:r>
          <w:r>
            <w:fldChar w:fldCharType="end"/>
          </w:r>
        </w:p>
      </w:tc>
    </w:tr>
  </w:tbl>
  <w:p w:rsidR="001B0415" w:rsidRDefault="001B04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415" w:rsidRDefault="001B0415">
      <w:pPr>
        <w:spacing w:line="240" w:lineRule="auto"/>
      </w:pPr>
      <w:r>
        <w:separator/>
      </w:r>
    </w:p>
  </w:footnote>
  <w:footnote w:type="continuationSeparator" w:id="0">
    <w:p w:rsidR="001B0415" w:rsidRDefault="001B04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15" w:rsidRDefault="001B0415">
    <w:pPr>
      <w:pStyle w:val="Header"/>
      <w:jc w:val="right"/>
      <w:rPr>
        <w:b/>
        <w:sz w:val="28"/>
      </w:rPr>
    </w:pPr>
  </w:p>
  <w:p w:rsidR="001B0415" w:rsidRDefault="001B0415">
    <w:pPr>
      <w:pStyle w:val="Header"/>
      <w:jc w:val="right"/>
      <w:rPr>
        <w:b/>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15" w:rsidRDefault="001B0415">
    <w:pPr>
      <w:pStyle w:val="Header"/>
      <w:jc w:val="right"/>
      <w:rPr>
        <w:b/>
        <w:sz w:val="28"/>
      </w:rPr>
    </w:pPr>
    <w:r>
      <w:rPr>
        <w:b/>
        <w:sz w:val="28"/>
      </w:rPr>
      <w:t xml:space="preserve">Agenda Item No:            </w:t>
    </w:r>
  </w:p>
  <w:p w:rsidR="001B0415" w:rsidRDefault="001B041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1A68"/>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5F23CB2"/>
    <w:multiLevelType w:val="singleLevel"/>
    <w:tmpl w:val="65FC1308"/>
    <w:lvl w:ilvl="0">
      <w:start w:val="1"/>
      <w:numFmt w:val="bullet"/>
      <w:lvlText w:val=""/>
      <w:lvlJc w:val="left"/>
      <w:pPr>
        <w:tabs>
          <w:tab w:val="num" w:pos="737"/>
        </w:tabs>
        <w:ind w:left="737" w:hanging="737"/>
      </w:pPr>
      <w:rPr>
        <w:rFonts w:ascii="Symbol" w:hAnsi="Symbol" w:hint="default"/>
      </w:rPr>
    </w:lvl>
  </w:abstractNum>
  <w:abstractNum w:abstractNumId="2">
    <w:nsid w:val="419E119D"/>
    <w:multiLevelType w:val="hybridMultilevel"/>
    <w:tmpl w:val="D8DE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01240C"/>
    <w:multiLevelType w:val="hybridMultilevel"/>
    <w:tmpl w:val="37C8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2678D8"/>
    <w:multiLevelType w:val="hybridMultilevel"/>
    <w:tmpl w:val="7034F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C014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30721"/>
  </w:hdrShapeDefaults>
  <w:footnotePr>
    <w:footnote w:id="-1"/>
    <w:footnote w:id="0"/>
  </w:footnotePr>
  <w:endnotePr>
    <w:endnote w:id="-1"/>
    <w:endnote w:id="0"/>
  </w:endnotePr>
  <w:compat/>
  <w:rsids>
    <w:rsidRoot w:val="00183A35"/>
    <w:rsid w:val="000C2DB4"/>
    <w:rsid w:val="000D595D"/>
    <w:rsid w:val="000E22F0"/>
    <w:rsid w:val="00116924"/>
    <w:rsid w:val="00150686"/>
    <w:rsid w:val="001834C6"/>
    <w:rsid w:val="00183A35"/>
    <w:rsid w:val="001B0415"/>
    <w:rsid w:val="002A1381"/>
    <w:rsid w:val="003C19C1"/>
    <w:rsid w:val="00425CB1"/>
    <w:rsid w:val="00450713"/>
    <w:rsid w:val="004D2924"/>
    <w:rsid w:val="005651CD"/>
    <w:rsid w:val="005A2E9D"/>
    <w:rsid w:val="006405B0"/>
    <w:rsid w:val="00671CAD"/>
    <w:rsid w:val="00722B70"/>
    <w:rsid w:val="0073779A"/>
    <w:rsid w:val="007956ED"/>
    <w:rsid w:val="007A06BD"/>
    <w:rsid w:val="007B14B6"/>
    <w:rsid w:val="008322F5"/>
    <w:rsid w:val="008D28F7"/>
    <w:rsid w:val="008E4AD9"/>
    <w:rsid w:val="00995B82"/>
    <w:rsid w:val="00AA19D3"/>
    <w:rsid w:val="00BD3985"/>
    <w:rsid w:val="00C644DF"/>
    <w:rsid w:val="00CF717B"/>
    <w:rsid w:val="00D059A7"/>
    <w:rsid w:val="00D16107"/>
    <w:rsid w:val="00DB72A8"/>
    <w:rsid w:val="00DC5EC5"/>
    <w:rsid w:val="00E519F0"/>
    <w:rsid w:val="00E96249"/>
    <w:rsid w:val="00FF7B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7B"/>
    <w:pPr>
      <w:spacing w:line="300" w:lineRule="auto"/>
    </w:pPr>
    <w:rPr>
      <w:rFonts w:ascii="Arial" w:hAnsi="Arial"/>
      <w:sz w:val="24"/>
    </w:rPr>
  </w:style>
  <w:style w:type="paragraph" w:styleId="Heading1">
    <w:name w:val="heading 1"/>
    <w:basedOn w:val="Normal"/>
    <w:next w:val="Normal"/>
    <w:qFormat/>
    <w:rsid w:val="00CF717B"/>
    <w:pPr>
      <w:keepNext/>
      <w:outlineLvl w:val="0"/>
    </w:pPr>
    <w:rPr>
      <w:rFonts w:ascii="Tahoma" w:hAnsi="Tahoma"/>
      <w:b/>
      <w:spacing w:val="18"/>
      <w:sz w:val="28"/>
    </w:rPr>
  </w:style>
  <w:style w:type="paragraph" w:styleId="Heading2">
    <w:name w:val="heading 2"/>
    <w:basedOn w:val="Normal"/>
    <w:next w:val="Normal"/>
    <w:qFormat/>
    <w:rsid w:val="00CF717B"/>
    <w:pPr>
      <w:keepNext/>
      <w:outlineLvl w:val="1"/>
    </w:pPr>
    <w:rPr>
      <w:b/>
      <w:sz w:val="36"/>
    </w:rPr>
  </w:style>
  <w:style w:type="paragraph" w:styleId="Heading3">
    <w:name w:val="heading 3"/>
    <w:basedOn w:val="Normal"/>
    <w:next w:val="Normal"/>
    <w:qFormat/>
    <w:rsid w:val="00CF717B"/>
    <w:pPr>
      <w:keepNext/>
      <w:outlineLvl w:val="2"/>
    </w:pPr>
    <w:rPr>
      <w:rFonts w:ascii="Tahoma" w:hAnsi="Tahoma"/>
    </w:rPr>
  </w:style>
  <w:style w:type="paragraph" w:styleId="Heading4">
    <w:name w:val="heading 4"/>
    <w:basedOn w:val="Normal"/>
    <w:next w:val="Normal"/>
    <w:qFormat/>
    <w:rsid w:val="00CF717B"/>
    <w:pPr>
      <w:keepNext/>
      <w:outlineLvl w:val="3"/>
    </w:pPr>
    <w:rPr>
      <w:rFonts w:ascii="Tahoma" w:hAnsi="Tahoma"/>
      <w:sz w:val="40"/>
    </w:rPr>
  </w:style>
  <w:style w:type="paragraph" w:styleId="Heading5">
    <w:name w:val="heading 5"/>
    <w:basedOn w:val="Normal"/>
    <w:next w:val="Normal"/>
    <w:qFormat/>
    <w:rsid w:val="00CF717B"/>
    <w:pPr>
      <w:keepNext/>
      <w:spacing w:before="25" w:after="120"/>
      <w:jc w:val="center"/>
      <w:outlineLvl w:val="4"/>
    </w:pPr>
    <w:rPr>
      <w:rFonts w:ascii="Tahoma" w:hAnsi="Tahoma"/>
    </w:rPr>
  </w:style>
  <w:style w:type="paragraph" w:styleId="Heading6">
    <w:name w:val="heading 6"/>
    <w:basedOn w:val="Normal"/>
    <w:next w:val="Normal"/>
    <w:qFormat/>
    <w:rsid w:val="00CF717B"/>
    <w:pPr>
      <w:keepNext/>
      <w:spacing w:before="60" w:after="40"/>
      <w:outlineLvl w:val="5"/>
    </w:pPr>
    <w:rPr>
      <w:rFonts w:ascii="Tahoma" w:hAnsi="Tahoma"/>
      <w:b/>
      <w:sz w:val="20"/>
    </w:rPr>
  </w:style>
  <w:style w:type="paragraph" w:styleId="Heading7">
    <w:name w:val="heading 7"/>
    <w:basedOn w:val="Normal"/>
    <w:next w:val="Normal"/>
    <w:qFormat/>
    <w:rsid w:val="00CF717B"/>
    <w:pPr>
      <w:keepNext/>
      <w:spacing w:before="25" w:after="120"/>
      <w:outlineLvl w:val="6"/>
    </w:pPr>
    <w:rPr>
      <w:b/>
    </w:rPr>
  </w:style>
  <w:style w:type="paragraph" w:styleId="Heading8">
    <w:name w:val="heading 8"/>
    <w:basedOn w:val="Normal"/>
    <w:next w:val="Normal"/>
    <w:qFormat/>
    <w:rsid w:val="00CF717B"/>
    <w:pPr>
      <w:keepNext/>
      <w:spacing w:before="360"/>
      <w:outlineLvl w:val="7"/>
    </w:pPr>
    <w:rPr>
      <w:rFonts w:ascii="Tahoma" w:hAnsi="Tahoma"/>
      <w:b/>
      <w:sz w:val="18"/>
    </w:rPr>
  </w:style>
  <w:style w:type="paragraph" w:styleId="Heading9">
    <w:name w:val="heading 9"/>
    <w:basedOn w:val="Normal"/>
    <w:next w:val="Normal"/>
    <w:qFormat/>
    <w:rsid w:val="00CF717B"/>
    <w:pPr>
      <w:keepNext/>
      <w:spacing w:before="60"/>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F717B"/>
    <w:pPr>
      <w:tabs>
        <w:tab w:val="center" w:pos="4153"/>
        <w:tab w:val="right" w:pos="8306"/>
      </w:tabs>
    </w:pPr>
  </w:style>
  <w:style w:type="paragraph" w:styleId="Footer">
    <w:name w:val="footer"/>
    <w:basedOn w:val="Normal"/>
    <w:semiHidden/>
    <w:rsid w:val="00CF717B"/>
    <w:pPr>
      <w:tabs>
        <w:tab w:val="center" w:pos="4153"/>
        <w:tab w:val="right" w:pos="8306"/>
      </w:tabs>
    </w:pPr>
  </w:style>
  <w:style w:type="character" w:styleId="PageNumber">
    <w:name w:val="page number"/>
    <w:basedOn w:val="DefaultParagraphFont"/>
    <w:semiHidden/>
    <w:rsid w:val="00CF717B"/>
  </w:style>
  <w:style w:type="paragraph" w:styleId="BodyText">
    <w:name w:val="Body Text"/>
    <w:basedOn w:val="Normal"/>
    <w:semiHidden/>
    <w:rsid w:val="00CF717B"/>
    <w:pPr>
      <w:spacing w:before="25" w:after="120"/>
    </w:pPr>
  </w:style>
  <w:style w:type="paragraph" w:styleId="BalloonText">
    <w:name w:val="Balloon Text"/>
    <w:basedOn w:val="Normal"/>
    <w:link w:val="BalloonTextChar"/>
    <w:uiPriority w:val="99"/>
    <w:semiHidden/>
    <w:unhideWhenUsed/>
    <w:rsid w:val="00DB72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2A8"/>
    <w:rPr>
      <w:rFonts w:ascii="Tahoma" w:hAnsi="Tahoma" w:cs="Tahoma"/>
      <w:sz w:val="16"/>
      <w:szCs w:val="16"/>
    </w:rPr>
  </w:style>
  <w:style w:type="paragraph" w:styleId="ListParagraph">
    <w:name w:val="List Paragraph"/>
    <w:basedOn w:val="Normal"/>
    <w:uiPriority w:val="34"/>
    <w:qFormat/>
    <w:rsid w:val="001834C6"/>
    <w:pPr>
      <w:ind w:left="720"/>
      <w:contextualSpacing/>
    </w:pPr>
  </w:style>
  <w:style w:type="paragraph" w:styleId="Title">
    <w:name w:val="Title"/>
    <w:basedOn w:val="Normal"/>
    <w:next w:val="Normal"/>
    <w:link w:val="TitleChar"/>
    <w:uiPriority w:val="10"/>
    <w:qFormat/>
    <w:rsid w:val="00FF7B5A"/>
    <w:pPr>
      <w:spacing w:line="240" w:lineRule="auto"/>
    </w:pPr>
    <w:rPr>
      <w:rFonts w:ascii="Calibri" w:hAnsi="Calibri"/>
      <w:caps/>
      <w:color w:val="4F81BD"/>
      <w:spacing w:val="10"/>
      <w:kern w:val="28"/>
      <w:sz w:val="52"/>
      <w:szCs w:val="52"/>
      <w:lang w:eastAsia="en-US" w:bidi="en-US"/>
    </w:rPr>
  </w:style>
  <w:style w:type="character" w:customStyle="1" w:styleId="TitleChar">
    <w:name w:val="Title Char"/>
    <w:basedOn w:val="DefaultParagraphFont"/>
    <w:link w:val="Title"/>
    <w:uiPriority w:val="10"/>
    <w:rsid w:val="00FF7B5A"/>
    <w:rPr>
      <w:rFonts w:ascii="Calibri" w:hAnsi="Calibri"/>
      <w:caps/>
      <w:color w:val="4F81BD"/>
      <w:spacing w:val="10"/>
      <w:kern w:val="28"/>
      <w:sz w:val="52"/>
      <w:szCs w:val="52"/>
      <w:lang w:eastAsia="en-US" w:bidi="en-US"/>
    </w:rPr>
  </w:style>
</w:styles>
</file>

<file path=word/webSettings.xml><?xml version="1.0" encoding="utf-8"?>
<w:webSettings xmlns:r="http://schemas.openxmlformats.org/officeDocument/2006/relationships" xmlns:w="http://schemas.openxmlformats.org/wordprocessingml/2006/main">
  <w:divs>
    <w:div w:id="834952248">
      <w:bodyDiv w:val="1"/>
      <w:marLeft w:val="0"/>
      <w:marRight w:val="0"/>
      <w:marTop w:val="0"/>
      <w:marBottom w:val="0"/>
      <w:divBdr>
        <w:top w:val="none" w:sz="0" w:space="0" w:color="auto"/>
        <w:left w:val="none" w:sz="0" w:space="0" w:color="auto"/>
        <w:bottom w:val="none" w:sz="0" w:space="0" w:color="auto"/>
        <w:right w:val="none" w:sz="0" w:space="0" w:color="auto"/>
      </w:divBdr>
    </w:div>
    <w:div w:id="1074014711">
      <w:bodyDiv w:val="1"/>
      <w:marLeft w:val="0"/>
      <w:marRight w:val="0"/>
      <w:marTop w:val="0"/>
      <w:marBottom w:val="0"/>
      <w:divBdr>
        <w:top w:val="none" w:sz="0" w:space="0" w:color="auto"/>
        <w:left w:val="none" w:sz="0" w:space="0" w:color="auto"/>
        <w:bottom w:val="none" w:sz="0" w:space="0" w:color="auto"/>
        <w:right w:val="none" w:sz="0" w:space="0" w:color="auto"/>
      </w:divBdr>
    </w:div>
    <w:div w:id="14347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ystem\Word\Standard%20Templates\O%20&amp;%20S%20Panel%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 &amp; S Panel Report</Template>
  <TotalTime>1</TotalTime>
  <Pages>4</Pages>
  <Words>689</Words>
  <Characters>3609</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USE OF CONSULTANTS TASK &amp; FINISH GROUP</vt:lpstr>
      <vt:lpstr>Membership</vt:lpstr>
      <vt:lpstr>Terms of Reference</vt:lpstr>
    </vt:vector>
  </TitlesOfParts>
  <Company>Carlisle City Council, I.T. Services</Company>
  <LinksUpToDate>false</LinksUpToDate>
  <CharactersWithSpaces>4290</CharactersWithSpaces>
  <SharedDoc>false</SharedDoc>
  <HLinks>
    <vt:vector size="6" baseType="variant">
      <vt:variant>
        <vt:i4>5832707</vt:i4>
      </vt:variant>
      <vt:variant>
        <vt:i4>-1</vt:i4>
      </vt:variant>
      <vt:variant>
        <vt:i4>1096</vt:i4>
      </vt:variant>
      <vt:variant>
        <vt:i4>1</vt:i4>
      </vt:variant>
      <vt:variant>
        <vt:lpwstr>H:\My Documents\cclogojpeg.jpg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CONSULTANTS TASK &amp; FINISH GROUP</dc:title>
  <dc:subject/>
  <dc:creator> </dc:creator>
  <cp:keywords/>
  <dc:description/>
  <cp:lastModifiedBy>RachelR</cp:lastModifiedBy>
  <cp:revision>2</cp:revision>
  <cp:lastPrinted>2010-07-19T10:49:00Z</cp:lastPrinted>
  <dcterms:created xsi:type="dcterms:W3CDTF">2010-07-19T10:51:00Z</dcterms:created>
  <dcterms:modified xsi:type="dcterms:W3CDTF">2010-07-19T10:51:00Z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Reference">
    <vt:lpwstr/>
  </property>
</Properties>
</file>